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和田地区商务局2024</w:t>
      </w:r>
      <w:r>
        <w:rPr>
          <w:rFonts w:hint="eastAsia" w:ascii="方正小标宋简体" w:hAnsi="方正小标宋简体" w:eastAsia="方正小标宋简体" w:cs="方正小标宋简体"/>
          <w:sz w:val="44"/>
          <w:szCs w:val="44"/>
          <w:highlight w:val="none"/>
          <w:lang w:eastAsia="zh-CN"/>
        </w:rPr>
        <w:t>年度</w:t>
      </w:r>
      <w:r>
        <w:rPr>
          <w:rFonts w:hint="eastAsia" w:ascii="方正小标宋简体" w:hAnsi="方正小标宋简体" w:eastAsia="方正小标宋简体" w:cs="方正小标宋简体"/>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9B90301">
      <w:r>
        <w:br w:type="page"/>
      </w:r>
    </w:p>
    <w:p w14:paraId="1A7D13CA">
      <w:pPr>
        <w:spacing w:line="640" w:lineRule="exact"/>
        <w:jc w:val="center"/>
        <w:outlineLvl w:val="1"/>
      </w:pPr>
      <w:r>
        <w:rPr>
          <w:rFonts w:ascii="黑体" w:hAnsi="黑体" w:eastAsia="黑体"/>
          <w:sz w:val="32"/>
        </w:rPr>
        <w:t>第一部分 单位概况</w:t>
      </w:r>
    </w:p>
    <w:p w14:paraId="703C1E2E">
      <w:pPr>
        <w:spacing w:line="640" w:lineRule="exact"/>
        <w:ind w:firstLine="640"/>
        <w:jc w:val="both"/>
        <w:outlineLvl w:val="2"/>
        <w:rPr>
          <w:rFonts w:ascii="黑体" w:hAnsi="黑体" w:eastAsia="黑体"/>
          <w:sz w:val="32"/>
        </w:rPr>
      </w:pPr>
      <w:r>
        <w:rPr>
          <w:rFonts w:ascii="黑体" w:hAnsi="黑体" w:eastAsia="黑体"/>
          <w:sz w:val="32"/>
        </w:rPr>
        <w:t>一、主要职能</w:t>
      </w:r>
    </w:p>
    <w:p w14:paraId="47C41AF6">
      <w:pPr>
        <w:spacing w:line="580" w:lineRule="exact"/>
        <w:ind w:firstLine="640"/>
        <w:jc w:val="both"/>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和田地区商务局主要职能包括商贸物流、招商引资、扩大消费等。</w:t>
      </w:r>
      <w:bookmarkStart w:id="6" w:name="_GoBack"/>
      <w:bookmarkEnd w:id="6"/>
    </w:p>
    <w:p w14:paraId="4BDB743B">
      <w:pPr>
        <w:spacing w:line="640" w:lineRule="exact"/>
        <w:ind w:firstLine="640"/>
        <w:jc w:val="both"/>
        <w:outlineLvl w:val="2"/>
      </w:pPr>
      <w:r>
        <w:rPr>
          <w:rFonts w:ascii="黑体" w:hAnsi="黑体" w:eastAsia="黑体"/>
          <w:sz w:val="32"/>
        </w:rPr>
        <w:t>二、机构设置及人员情况</w:t>
      </w:r>
    </w:p>
    <w:p w14:paraId="3FF66958">
      <w:pPr>
        <w:spacing w:line="580" w:lineRule="exact"/>
        <w:ind w:firstLine="640"/>
        <w:jc w:val="both"/>
      </w:pPr>
      <w:r>
        <w:rPr>
          <w:rFonts w:ascii="仿宋_GB2312" w:hAnsi="仿宋_GB2312" w:eastAsia="仿宋_GB2312"/>
          <w:sz w:val="32"/>
        </w:rPr>
        <w:t>和田地区商务局无下属预算单位，下设7个科室，分别是：市场体系建设科、电子商务和信息科、贸易管理科、招商业务科、会展管理科、办公室、招商引资服务中心。</w:t>
      </w:r>
    </w:p>
    <w:p w14:paraId="01C85673">
      <w:r>
        <w:br w:type="page"/>
      </w:r>
    </w:p>
    <w:p w14:paraId="55B88DF2">
      <w:pPr>
        <w:spacing w:line="240" w:lineRule="auto"/>
        <w:jc w:val="center"/>
        <w:outlineLvl w:val="1"/>
      </w:pPr>
      <w:r>
        <w:rPr>
          <w:rFonts w:ascii="黑体" w:hAnsi="黑体" w:eastAsia="黑体"/>
          <w:sz w:val="32"/>
        </w:rPr>
        <w:t>第二部分 部门决算情况说明</w:t>
      </w:r>
    </w:p>
    <w:p w14:paraId="55A4BB8D">
      <w:pPr>
        <w:spacing w:line="640" w:lineRule="exact"/>
        <w:ind w:firstLine="640"/>
        <w:jc w:val="both"/>
        <w:outlineLvl w:val="2"/>
      </w:pPr>
      <w:r>
        <w:rPr>
          <w:rFonts w:ascii="黑体" w:hAnsi="黑体" w:eastAsia="黑体"/>
          <w:sz w:val="32"/>
        </w:rPr>
        <w:t>一、收入支出决算总体情况说明</w:t>
      </w:r>
    </w:p>
    <w:p w14:paraId="4ED956C7">
      <w:pPr>
        <w:spacing w:line="580" w:lineRule="exact"/>
        <w:ind w:firstLine="640"/>
        <w:jc w:val="both"/>
      </w:pPr>
      <w:r>
        <w:rPr>
          <w:rFonts w:ascii="仿宋_GB2312" w:hAnsi="仿宋_GB2312" w:eastAsia="仿宋_GB2312"/>
          <w:b/>
          <w:sz w:val="32"/>
        </w:rPr>
        <w:t>2024年度收入总计5,467.17万元，</w:t>
      </w:r>
      <w:r>
        <w:rPr>
          <w:rFonts w:ascii="仿宋_GB2312" w:hAnsi="仿宋_GB2312" w:eastAsia="仿宋_GB2312"/>
          <w:b w:val="0"/>
          <w:sz w:val="32"/>
        </w:rPr>
        <w:t>其中：本年收入合计5,229.66万元，使用非财政拨款结余（含专用结余）0.00万元，年初结转和结余237.51万元。</w:t>
      </w:r>
    </w:p>
    <w:p w14:paraId="3A71E9A6">
      <w:pPr>
        <w:spacing w:line="580" w:lineRule="exact"/>
        <w:ind w:firstLine="640"/>
        <w:jc w:val="both"/>
      </w:pPr>
      <w:r>
        <w:rPr>
          <w:rFonts w:ascii="仿宋_GB2312" w:hAnsi="仿宋_GB2312" w:eastAsia="仿宋_GB2312"/>
          <w:b/>
          <w:sz w:val="32"/>
        </w:rPr>
        <w:t>2024年度支出总计5,467.17万元，</w:t>
      </w:r>
      <w:r>
        <w:rPr>
          <w:rFonts w:ascii="仿宋_GB2312" w:hAnsi="仿宋_GB2312" w:eastAsia="仿宋_GB2312"/>
          <w:b w:val="0"/>
          <w:sz w:val="32"/>
        </w:rPr>
        <w:t>其中：本年支出合计5,399.24万元，结余分配0.00万元，年末结转和结余67.93万元。</w:t>
      </w:r>
    </w:p>
    <w:p w14:paraId="3784FDB2">
      <w:pPr>
        <w:spacing w:line="580" w:lineRule="exact"/>
        <w:ind w:firstLine="640"/>
        <w:jc w:val="both"/>
      </w:pPr>
      <w:r>
        <w:rPr>
          <w:rFonts w:ascii="仿宋_GB2312" w:hAnsi="仿宋_GB2312" w:eastAsia="仿宋_GB2312"/>
          <w:b w:val="0"/>
          <w:sz w:val="32"/>
        </w:rPr>
        <w:t>收入支出总体与上年相比，增加2,806.57万元，增长105.49%，主要原因是：本年增加汽车以旧换新补贴自治区财政预拨资金项目，自治区第一批家电促消费和</w:t>
      </w:r>
      <w:r>
        <w:rPr>
          <w:rFonts w:hint="eastAsia" w:ascii="仿宋_GB2312" w:hAnsi="仿宋_GB2312" w:eastAsia="仿宋_GB2312"/>
          <w:b w:val="0"/>
          <w:sz w:val="32"/>
          <w:lang w:eastAsia="zh-CN"/>
        </w:rPr>
        <w:t>以旧换新</w:t>
      </w:r>
      <w:r>
        <w:rPr>
          <w:rFonts w:ascii="仿宋_GB2312" w:hAnsi="仿宋_GB2312" w:eastAsia="仿宋_GB2312"/>
          <w:b w:val="0"/>
          <w:sz w:val="32"/>
        </w:rPr>
        <w:t>补贴活动，新疆维吾尔自治区2024年消费品以旧换新补贴活动项目，新疆维吾尔自治区家电促消费和以旧换新补贴活动项目等，导致经费较上年增加。</w:t>
      </w:r>
    </w:p>
    <w:p w14:paraId="22C837C5">
      <w:pPr>
        <w:spacing w:line="640" w:lineRule="exact"/>
        <w:ind w:firstLine="640"/>
        <w:jc w:val="both"/>
        <w:outlineLvl w:val="2"/>
      </w:pPr>
      <w:r>
        <w:rPr>
          <w:rFonts w:ascii="黑体" w:hAnsi="黑体" w:eastAsia="黑体"/>
          <w:sz w:val="32"/>
        </w:rPr>
        <w:t>二、收入决算情况说明</w:t>
      </w:r>
    </w:p>
    <w:p w14:paraId="29A72EEF">
      <w:pPr>
        <w:spacing w:line="580" w:lineRule="exact"/>
        <w:ind w:firstLine="640"/>
        <w:jc w:val="both"/>
      </w:pPr>
      <w:r>
        <w:rPr>
          <w:rFonts w:ascii="仿宋_GB2312" w:hAnsi="仿宋_GB2312" w:eastAsia="仿宋_GB2312"/>
          <w:b/>
          <w:sz w:val="32"/>
        </w:rPr>
        <w:t>本年收入5,229.66万元，</w:t>
      </w:r>
      <w:r>
        <w:rPr>
          <w:rFonts w:ascii="仿宋_GB2312" w:hAnsi="仿宋_GB2312" w:eastAsia="仿宋_GB2312"/>
          <w:b w:val="0"/>
          <w:sz w:val="32"/>
        </w:rPr>
        <w:t>其中：财政拨款收入3,967.14万元，占75.86%；上级补助收入0.00万元，占0.00%；事业收入0.00万元，占0.00%；经营收入0.00万元，占0.00%；附属单位上缴收入0.00万元，占0.00%；其他收入1,262.52万元，占24.14%。</w:t>
      </w:r>
    </w:p>
    <w:p w14:paraId="69113B43">
      <w:pPr>
        <w:spacing w:line="640" w:lineRule="exact"/>
        <w:ind w:firstLine="640"/>
        <w:jc w:val="both"/>
        <w:outlineLvl w:val="2"/>
      </w:pPr>
      <w:r>
        <w:rPr>
          <w:rFonts w:ascii="黑体" w:hAnsi="黑体" w:eastAsia="黑体"/>
          <w:sz w:val="32"/>
        </w:rPr>
        <w:t>三、支出决算情况说明</w:t>
      </w:r>
    </w:p>
    <w:p w14:paraId="4112DA58">
      <w:pPr>
        <w:spacing w:line="580" w:lineRule="exact"/>
        <w:ind w:firstLine="640"/>
        <w:jc w:val="both"/>
      </w:pPr>
      <w:r>
        <w:rPr>
          <w:rFonts w:ascii="仿宋_GB2312" w:hAnsi="仿宋_GB2312" w:eastAsia="仿宋_GB2312"/>
          <w:b/>
          <w:sz w:val="32"/>
        </w:rPr>
        <w:t>本年支出5,399.24万元，</w:t>
      </w:r>
      <w:r>
        <w:rPr>
          <w:rFonts w:ascii="仿宋_GB2312" w:hAnsi="仿宋_GB2312" w:eastAsia="仿宋_GB2312"/>
          <w:b w:val="0"/>
          <w:sz w:val="32"/>
        </w:rPr>
        <w:t>其中：基本支出589.54万元，占10.92%；项目支出4,809.70万元，占89.08%；上缴上级支出0.00万元，占0.00%；经营支出0.00万元，占0.00%；对附属单位补助支出0.00万元，占0.00%。</w:t>
      </w:r>
    </w:p>
    <w:p w14:paraId="34ADD66E">
      <w:pPr>
        <w:spacing w:line="640" w:lineRule="exact"/>
        <w:ind w:firstLine="640"/>
        <w:jc w:val="both"/>
        <w:outlineLvl w:val="2"/>
      </w:pPr>
      <w:r>
        <w:rPr>
          <w:rFonts w:ascii="黑体" w:hAnsi="黑体" w:eastAsia="黑体"/>
          <w:sz w:val="32"/>
        </w:rPr>
        <w:t>四、财政拨款收入支出决算总体情况说明</w:t>
      </w:r>
    </w:p>
    <w:p w14:paraId="14ED5F29">
      <w:pPr>
        <w:spacing w:line="580" w:lineRule="exact"/>
        <w:ind w:firstLine="640"/>
        <w:jc w:val="both"/>
      </w:pPr>
      <w:r>
        <w:rPr>
          <w:rFonts w:ascii="仿宋_GB2312" w:hAnsi="仿宋_GB2312" w:eastAsia="仿宋_GB2312"/>
          <w:b/>
          <w:sz w:val="32"/>
        </w:rPr>
        <w:t>2024年度财政拨款收入总计3,967.14万元，</w:t>
      </w:r>
      <w:r>
        <w:rPr>
          <w:rFonts w:ascii="仿宋_GB2312" w:hAnsi="仿宋_GB2312" w:eastAsia="仿宋_GB2312"/>
          <w:b w:val="0"/>
          <w:sz w:val="32"/>
        </w:rPr>
        <w:t>其中：年初财政拨款结转和结余0.00万元，本年财政拨款收入3,967.14万元。</w:t>
      </w:r>
      <w:r>
        <w:rPr>
          <w:rFonts w:ascii="仿宋_GB2312" w:hAnsi="仿宋_GB2312" w:eastAsia="仿宋_GB2312"/>
          <w:b/>
          <w:sz w:val="32"/>
        </w:rPr>
        <w:t>财政拨款支出总计3,967.14万元，</w:t>
      </w:r>
      <w:r>
        <w:rPr>
          <w:rFonts w:ascii="仿宋_GB2312" w:hAnsi="仿宋_GB2312" w:eastAsia="仿宋_GB2312"/>
          <w:b w:val="0"/>
          <w:sz w:val="32"/>
        </w:rPr>
        <w:t>其中：年末财政拨款结转和结余0.00万元，本年财政拨款支出3,967.14万元。</w:t>
      </w:r>
    </w:p>
    <w:p w14:paraId="52AF077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增加3,082.53万元，增长348.46%，主要原因是：本年增加2024年汽车以旧换新补贴项目，2024年汽车以旧换新补贴自治区财政预拨资金项目， 2024年自治区第一批家电促消费和</w:t>
      </w:r>
      <w:r>
        <w:rPr>
          <w:rFonts w:hint="eastAsia" w:ascii="仿宋_GB2312" w:hAnsi="仿宋_GB2312" w:eastAsia="仿宋_GB2312"/>
          <w:b w:val="0"/>
          <w:sz w:val="32"/>
          <w:lang w:eastAsia="zh-CN"/>
        </w:rPr>
        <w:t>以旧换新</w:t>
      </w:r>
      <w:r>
        <w:rPr>
          <w:rFonts w:ascii="仿宋_GB2312" w:hAnsi="仿宋_GB2312" w:eastAsia="仿宋_GB2312"/>
          <w:b w:val="0"/>
          <w:sz w:val="32"/>
        </w:rPr>
        <w:t>补贴活动，新疆维吾尔自治区2024年消费品以旧换新补贴活动项目等，导致经费较上年增加。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年初预算数1,102.33万元，决算数3,967.14万元，预决算差异率259.89%，主要原因是：年中追加2024年汽车以旧换新补贴自治区财政预拨资金项目， 2024年自治区第一批家电促消费和</w:t>
      </w:r>
      <w:r>
        <w:rPr>
          <w:rFonts w:hint="eastAsia" w:ascii="仿宋_GB2312" w:hAnsi="仿宋_GB2312" w:eastAsia="仿宋_GB2312"/>
          <w:b w:val="0"/>
          <w:sz w:val="32"/>
          <w:lang w:eastAsia="zh-CN"/>
        </w:rPr>
        <w:t>以旧换新</w:t>
      </w:r>
      <w:r>
        <w:rPr>
          <w:rFonts w:ascii="仿宋_GB2312" w:hAnsi="仿宋_GB2312" w:eastAsia="仿宋_GB2312"/>
          <w:b w:val="0"/>
          <w:sz w:val="32"/>
        </w:rPr>
        <w:t>补贴活动，新疆维吾尔自治区2024年消费品以旧换新补贴活动项目等，导致预决算存在差异。</w:t>
      </w:r>
    </w:p>
    <w:p w14:paraId="6ED0ED4D">
      <w:pPr>
        <w:spacing w:line="640" w:lineRule="exact"/>
        <w:ind w:firstLine="640"/>
        <w:jc w:val="both"/>
        <w:outlineLvl w:val="2"/>
      </w:pPr>
      <w:r>
        <w:rPr>
          <w:rFonts w:ascii="黑体" w:hAnsi="黑体" w:eastAsia="黑体"/>
          <w:sz w:val="32"/>
        </w:rPr>
        <w:t>五、一般公共预算财政拨款支出决算情况说明</w:t>
      </w:r>
    </w:p>
    <w:p w14:paraId="37C88A27">
      <w:pPr>
        <w:spacing w:line="640" w:lineRule="exact"/>
        <w:ind w:firstLine="640"/>
        <w:jc w:val="both"/>
        <w:outlineLvl w:val="3"/>
      </w:pPr>
      <w:r>
        <w:rPr>
          <w:rFonts w:ascii="楷体_GB2312" w:hAnsi="楷体_GB2312" w:eastAsia="楷体_GB2312"/>
          <w:b/>
          <w:sz w:val="32"/>
        </w:rPr>
        <w:t>（一）一般公共预算财政拨款支出决算总体情况</w:t>
      </w:r>
    </w:p>
    <w:p w14:paraId="69275DD9">
      <w:pPr>
        <w:spacing w:line="580" w:lineRule="exact"/>
        <w:ind w:firstLine="640"/>
        <w:jc w:val="both"/>
      </w:pPr>
      <w:r>
        <w:rPr>
          <w:rFonts w:ascii="仿宋_GB2312" w:hAnsi="仿宋_GB2312" w:eastAsia="仿宋_GB2312"/>
          <w:b/>
          <w:sz w:val="32"/>
        </w:rPr>
        <w:t>2024年度一般公共预算财政拨款支出1,955.58万元，</w:t>
      </w:r>
      <w:r>
        <w:rPr>
          <w:rFonts w:ascii="仿宋_GB2312" w:hAnsi="仿宋_GB2312" w:eastAsia="仿宋_GB2312"/>
          <w:b w:val="0"/>
          <w:sz w:val="32"/>
        </w:rPr>
        <w:t>占本年支出合计的36.22%。</w:t>
      </w:r>
      <w:r>
        <w:rPr>
          <w:rFonts w:ascii="仿宋_GB2312" w:hAnsi="仿宋_GB2312" w:eastAsia="仿宋_GB2312"/>
          <w:b/>
          <w:sz w:val="32"/>
        </w:rPr>
        <w:t>与上年相比，</w:t>
      </w:r>
      <w:r>
        <w:rPr>
          <w:rFonts w:ascii="仿宋_GB2312" w:hAnsi="仿宋_GB2312" w:eastAsia="仿宋_GB2312"/>
          <w:b w:val="0"/>
          <w:sz w:val="32"/>
        </w:rPr>
        <w:t>增加1,070.97万元，增长121.07%，主要原因是：本年增加2024年汽车以旧换新补贴项目，2024年汽车以旧换新补贴自治区财政预拨资金项目，2024年自治区第一批家电促消费和</w:t>
      </w:r>
      <w:r>
        <w:rPr>
          <w:rFonts w:hint="eastAsia" w:ascii="仿宋_GB2312" w:hAnsi="仿宋_GB2312" w:eastAsia="仿宋_GB2312"/>
          <w:b w:val="0"/>
          <w:sz w:val="32"/>
          <w:lang w:eastAsia="zh-CN"/>
        </w:rPr>
        <w:t>以旧换新</w:t>
      </w:r>
      <w:r>
        <w:rPr>
          <w:rFonts w:ascii="仿宋_GB2312" w:hAnsi="仿宋_GB2312" w:eastAsia="仿宋_GB2312"/>
          <w:b w:val="0"/>
          <w:sz w:val="32"/>
        </w:rPr>
        <w:t>补贴活动，新疆维吾尔自治区2024年消费品以旧换新补贴活动项目。</w:t>
      </w:r>
      <w:r>
        <w:rPr>
          <w:rFonts w:ascii="仿宋_GB2312" w:hAnsi="仿宋_GB2312" w:eastAsia="仿宋_GB2312"/>
          <w:b/>
          <w:sz w:val="32"/>
        </w:rPr>
        <w:t>与年初预算相比,</w:t>
      </w:r>
      <w:r>
        <w:rPr>
          <w:rFonts w:ascii="仿宋_GB2312" w:hAnsi="仿宋_GB2312" w:eastAsia="仿宋_GB2312"/>
          <w:b w:val="0"/>
          <w:sz w:val="32"/>
        </w:rPr>
        <w:t>年初预算数1,102.33万元，决算数1,955.58万元，预决算差异率77.40%，主要原因是：年中追加2024年汽车以旧换新补贴自治区财政预拨资金项目，2024年自治区第一批家电促消费和</w:t>
      </w:r>
      <w:r>
        <w:rPr>
          <w:rFonts w:hint="eastAsia" w:ascii="仿宋_GB2312" w:hAnsi="仿宋_GB2312" w:eastAsia="仿宋_GB2312"/>
          <w:b w:val="0"/>
          <w:sz w:val="32"/>
          <w:lang w:eastAsia="zh-CN"/>
        </w:rPr>
        <w:t>以旧换新</w:t>
      </w:r>
      <w:r>
        <w:rPr>
          <w:rFonts w:ascii="仿宋_GB2312" w:hAnsi="仿宋_GB2312" w:eastAsia="仿宋_GB2312"/>
          <w:b w:val="0"/>
          <w:sz w:val="32"/>
        </w:rPr>
        <w:t>补贴活动，新疆维吾尔自治区2024年消费品以旧换新补贴活动项目等，导致预决算存在差异。</w:t>
      </w:r>
    </w:p>
    <w:p w14:paraId="351FE133">
      <w:pPr>
        <w:spacing w:line="640" w:lineRule="exact"/>
        <w:ind w:firstLine="640"/>
        <w:jc w:val="both"/>
        <w:outlineLvl w:val="3"/>
      </w:pPr>
      <w:r>
        <w:rPr>
          <w:rFonts w:ascii="楷体_GB2312" w:hAnsi="楷体_GB2312" w:eastAsia="楷体_GB2312"/>
          <w:b/>
          <w:sz w:val="32"/>
        </w:rPr>
        <w:t>（二）一般公共预算财政拨款支出决算结构情况</w:t>
      </w:r>
    </w:p>
    <w:p w14:paraId="105184D3">
      <w:pPr>
        <w:spacing w:line="580" w:lineRule="exact"/>
        <w:ind w:firstLine="640"/>
        <w:jc w:val="both"/>
      </w:pPr>
      <w:r>
        <w:rPr>
          <w:rFonts w:ascii="仿宋_GB2312" w:hAnsi="仿宋_GB2312" w:eastAsia="仿宋_GB2312"/>
          <w:b w:val="0"/>
          <w:sz w:val="32"/>
        </w:rPr>
        <w:t>1.一般公共服务支出(类)617.19万元,占31.56%。</w:t>
      </w:r>
    </w:p>
    <w:p w14:paraId="6693B05C">
      <w:pPr>
        <w:spacing w:line="580" w:lineRule="exact"/>
        <w:ind w:firstLine="640"/>
        <w:jc w:val="both"/>
      </w:pPr>
      <w:r>
        <w:rPr>
          <w:rFonts w:ascii="仿宋_GB2312" w:hAnsi="仿宋_GB2312" w:eastAsia="仿宋_GB2312"/>
          <w:b w:val="0"/>
          <w:sz w:val="32"/>
        </w:rPr>
        <w:t>2.社会保障和就业支出(类)76.89万元,占3.93%。</w:t>
      </w:r>
    </w:p>
    <w:p w14:paraId="2EFBC9C6">
      <w:pPr>
        <w:spacing w:line="580" w:lineRule="exact"/>
        <w:ind w:firstLine="640"/>
        <w:jc w:val="both"/>
      </w:pPr>
      <w:r>
        <w:rPr>
          <w:rFonts w:ascii="仿宋_GB2312" w:hAnsi="仿宋_GB2312" w:eastAsia="仿宋_GB2312"/>
          <w:b w:val="0"/>
          <w:sz w:val="32"/>
        </w:rPr>
        <w:t>3.卫生健康支出(类)30.14万元,占1.54%。</w:t>
      </w:r>
    </w:p>
    <w:p w14:paraId="14CBEEF2">
      <w:pPr>
        <w:spacing w:line="580" w:lineRule="exact"/>
        <w:ind w:firstLine="640"/>
        <w:jc w:val="both"/>
      </w:pPr>
      <w:r>
        <w:rPr>
          <w:rFonts w:ascii="仿宋_GB2312" w:hAnsi="仿宋_GB2312" w:eastAsia="仿宋_GB2312"/>
          <w:b w:val="0"/>
          <w:sz w:val="32"/>
        </w:rPr>
        <w:t>4.商业服务业等支出(类)1,168.16万元,占59.73%。</w:t>
      </w:r>
    </w:p>
    <w:p w14:paraId="50160263">
      <w:pPr>
        <w:spacing w:line="580" w:lineRule="exact"/>
        <w:ind w:firstLine="640"/>
        <w:jc w:val="both"/>
      </w:pPr>
      <w:r>
        <w:rPr>
          <w:rFonts w:ascii="仿宋_GB2312" w:hAnsi="仿宋_GB2312" w:eastAsia="仿宋_GB2312"/>
          <w:b w:val="0"/>
          <w:sz w:val="32"/>
        </w:rPr>
        <w:t>5.住房保障支出(类)39.44万元,占2.02%。</w:t>
      </w:r>
    </w:p>
    <w:p w14:paraId="3F511B77">
      <w:pPr>
        <w:spacing w:line="580" w:lineRule="exact"/>
        <w:ind w:firstLine="640"/>
        <w:jc w:val="both"/>
      </w:pPr>
      <w:r>
        <w:rPr>
          <w:rFonts w:ascii="仿宋_GB2312" w:hAnsi="仿宋_GB2312" w:eastAsia="仿宋_GB2312"/>
          <w:b w:val="0"/>
          <w:sz w:val="32"/>
        </w:rPr>
        <w:t>6.其他支出(类)23.77万元,占1.22%。</w:t>
      </w:r>
    </w:p>
    <w:p w14:paraId="2714B8B9">
      <w:pPr>
        <w:spacing w:line="640" w:lineRule="exact"/>
        <w:ind w:firstLine="640"/>
        <w:jc w:val="both"/>
        <w:outlineLvl w:val="3"/>
      </w:pPr>
      <w:r>
        <w:rPr>
          <w:rFonts w:ascii="楷体_GB2312" w:hAnsi="楷体_GB2312" w:eastAsia="楷体_GB2312"/>
          <w:b/>
          <w:sz w:val="32"/>
        </w:rPr>
        <w:t>（三）一般公共预算财政拨款支出决算具体情况</w:t>
      </w:r>
    </w:p>
    <w:p w14:paraId="101452CA">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0.00万元，比上年决算减少20.81万元，下降100.00%,主要原因是：上年度劳务费、办公费年中追加时主科目使用有误，本年度进行调整，导致经费较上年减少。</w:t>
      </w:r>
    </w:p>
    <w:p w14:paraId="683AAF28">
      <w:pPr>
        <w:spacing w:line="580" w:lineRule="exact"/>
        <w:ind w:firstLine="640"/>
        <w:jc w:val="both"/>
      </w:pPr>
      <w:r>
        <w:rPr>
          <w:rFonts w:ascii="仿宋_GB2312" w:hAnsi="仿宋_GB2312" w:eastAsia="仿宋_GB2312"/>
          <w:b w:val="0"/>
          <w:sz w:val="32"/>
        </w:rPr>
        <w:t>2.一般公共服务支出(类)商贸事务(款)行政运行(项):支出决算数为442.23万元，比上年决算减少59.48万元，下降11.86%,主要原因是：本年功能科目调整，行政单位离退休、行政单位医疗、公务员医疗补助、住房公积金上年度在此功能科目列支，本年度单独列支，导致较上年减少。</w:t>
      </w:r>
    </w:p>
    <w:p w14:paraId="59CCA891">
      <w:pPr>
        <w:spacing w:line="580" w:lineRule="exact"/>
        <w:ind w:firstLine="640"/>
        <w:jc w:val="both"/>
      </w:pPr>
      <w:r>
        <w:rPr>
          <w:rFonts w:ascii="仿宋_GB2312" w:hAnsi="仿宋_GB2312" w:eastAsia="仿宋_GB2312"/>
          <w:b w:val="0"/>
          <w:sz w:val="32"/>
        </w:rPr>
        <w:t>3.一般公共服务支出(类)商贸事务(款)其他商贸事务支出(项):支出决算数为174.96万元，比上年决算增加74.96万元，增长74.96%,主要原因是：本年增加招商及会展经费，导致经费较上年增加。</w:t>
      </w:r>
    </w:p>
    <w:p w14:paraId="1EBF33DE">
      <w:pPr>
        <w:spacing w:line="580" w:lineRule="exact"/>
        <w:ind w:firstLine="640"/>
        <w:jc w:val="both"/>
      </w:pPr>
      <w:r>
        <w:rPr>
          <w:rFonts w:ascii="仿宋_GB2312" w:hAnsi="仿宋_GB2312" w:eastAsia="仿宋_GB2312"/>
          <w:b w:val="0"/>
          <w:sz w:val="32"/>
        </w:rPr>
        <w:t>4.一般公共服务支出(类)组织事务(款)其他组织事务支出(项):支出决算数为0.00万元，比上年决算减少1.68万元，下降100.00%,主要原因是：本年科目调整，援疆干部生活补助资金由其他组织事务支出科目调整至其他支出科目列支，导致经费较上年减少。</w:t>
      </w:r>
    </w:p>
    <w:p w14:paraId="03CF4D7B">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20.16万元，比上年决算增加20.16万元，增长100.00%,主要原因是：本年功能科目调整，行政单位离退休上年度在主科目列支，本年单独列支，导致经费较上年增加。</w:t>
      </w:r>
    </w:p>
    <w:p w14:paraId="3D3AFDAE">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51.02万元，比上年决算增加7.36万元，增长16.86%,主要原因是：本年在职人员工资基数调增，养老缴费基数上涨，相应支出增加。</w:t>
      </w:r>
    </w:p>
    <w:p w14:paraId="504E1A41">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5.71万元，比上年决算减少0.10万元，下降1.72%,主要原因是：本年辞职调出人员较上年减少，职业年金缴费较上年减少。</w:t>
      </w:r>
    </w:p>
    <w:p w14:paraId="1EFEEBF8">
      <w:pPr>
        <w:spacing w:line="580" w:lineRule="exact"/>
        <w:ind w:firstLine="640"/>
        <w:jc w:val="both"/>
      </w:pPr>
      <w:r>
        <w:rPr>
          <w:rFonts w:ascii="仿宋_GB2312" w:hAnsi="仿宋_GB2312" w:eastAsia="仿宋_GB2312"/>
          <w:b w:val="0"/>
          <w:sz w:val="32"/>
        </w:rPr>
        <w:t>8.卫生健康支出(类)行政事业单位医疗(款)行政单位医疗(项):支出决算数为20.73万元，比上年决算增加20.73万元，增长100.00%,主要原因是：本年功能科目调整，行政单位医疗支出上年度在主科目列支，本年单独列支，导致经费较上年增加。</w:t>
      </w:r>
    </w:p>
    <w:p w14:paraId="24696752">
      <w:pPr>
        <w:spacing w:line="580" w:lineRule="exact"/>
        <w:ind w:firstLine="640"/>
        <w:jc w:val="both"/>
      </w:pPr>
      <w:r>
        <w:rPr>
          <w:rFonts w:ascii="仿宋_GB2312" w:hAnsi="仿宋_GB2312" w:eastAsia="仿宋_GB2312"/>
          <w:b w:val="0"/>
          <w:sz w:val="32"/>
        </w:rPr>
        <w:t>9.卫生健康支出(类)行政事业单位医疗(款)公务员医疗补助(项):支出决算数为9.41万元，比上年决算增加9.41万元，增长100.00%,主要原因是：本年功能科目调整，公务员医疗补助上年度在主科目列支，本年单独列支，导致经费较上年增加。</w:t>
      </w:r>
    </w:p>
    <w:p w14:paraId="18EACA12">
      <w:pPr>
        <w:spacing w:line="580" w:lineRule="exact"/>
        <w:ind w:firstLine="640"/>
        <w:jc w:val="both"/>
      </w:pPr>
      <w:r>
        <w:rPr>
          <w:rFonts w:ascii="仿宋_GB2312" w:hAnsi="仿宋_GB2312" w:eastAsia="仿宋_GB2312"/>
          <w:b w:val="0"/>
          <w:sz w:val="32"/>
        </w:rPr>
        <w:t>10.商业服务业等支出(类)商业流通事务(款)其他商业流通事务支出(项):支出决算数为1,168.16万元，比上年决算增加976.32万元，增长508.92%,主要原因是：本年增加2024年汽车以旧换新补贴项目，2024年汽车以旧换新补贴自治区财政预拨资金项目，2024年自治区第一批家电促消费和</w:t>
      </w:r>
      <w:r>
        <w:rPr>
          <w:rFonts w:hint="eastAsia" w:ascii="仿宋_GB2312" w:hAnsi="仿宋_GB2312" w:eastAsia="仿宋_GB2312"/>
          <w:b w:val="0"/>
          <w:sz w:val="32"/>
          <w:lang w:eastAsia="zh-CN"/>
        </w:rPr>
        <w:t>以旧换新</w:t>
      </w:r>
      <w:r>
        <w:rPr>
          <w:rFonts w:ascii="仿宋_GB2312" w:hAnsi="仿宋_GB2312" w:eastAsia="仿宋_GB2312"/>
          <w:b w:val="0"/>
          <w:sz w:val="32"/>
        </w:rPr>
        <w:t>补贴活动，新疆维吾尔自治区2024年消费品以旧换新补贴活动项目。</w:t>
      </w:r>
    </w:p>
    <w:p w14:paraId="3DFAC459">
      <w:pPr>
        <w:spacing w:line="580" w:lineRule="exact"/>
        <w:ind w:firstLine="640"/>
        <w:jc w:val="both"/>
      </w:pPr>
      <w:r>
        <w:rPr>
          <w:rFonts w:ascii="仿宋_GB2312" w:hAnsi="仿宋_GB2312" w:eastAsia="仿宋_GB2312"/>
          <w:b w:val="0"/>
          <w:sz w:val="32"/>
        </w:rPr>
        <w:t>11.商业服务业等支出(类)其他商业服务业等支出(款)其他商业服务业等支出(项):支出决算数为0.00万元，比上年决算减少3.18万元，下降100.00%,主要原因是：本年未安排中央服务业发展资金[第一批]项目。</w:t>
      </w:r>
    </w:p>
    <w:p w14:paraId="6F457259">
      <w:pPr>
        <w:spacing w:line="580" w:lineRule="exact"/>
        <w:ind w:firstLine="640"/>
        <w:jc w:val="both"/>
      </w:pPr>
      <w:r>
        <w:rPr>
          <w:rFonts w:ascii="仿宋_GB2312" w:hAnsi="仿宋_GB2312" w:eastAsia="仿宋_GB2312"/>
          <w:b w:val="0"/>
          <w:sz w:val="32"/>
        </w:rPr>
        <w:t>12.住房保障支出(类)住房改革支出(款)住房公积金(项):支出决算数为39.44万元，比上年决算增加39.44万元，增长100.00%,主要原因是：本年功能科目调整，住房公积金上年度在主科目列支，本年单独列支，导致经费较上年增加。</w:t>
      </w:r>
    </w:p>
    <w:p w14:paraId="34B9BD2F">
      <w:pPr>
        <w:spacing w:line="580" w:lineRule="exact"/>
        <w:ind w:firstLine="640"/>
        <w:jc w:val="both"/>
      </w:pPr>
      <w:r>
        <w:rPr>
          <w:rFonts w:ascii="仿宋_GB2312" w:hAnsi="仿宋_GB2312" w:eastAsia="仿宋_GB2312"/>
          <w:b w:val="0"/>
          <w:sz w:val="32"/>
        </w:rPr>
        <w:t>13.其他支出(类)其他支出(款)其他支出(项):支出决算数为23.77万元，比上年决算增加7.84万元，增长49.22%,主要原因是：本年度自治区驻村工作专项经费较上年增加；本年科目调整，援疆干部生活补助资金由其他组织事务支出科目调整至其他支出科目列支，导致经费较上年增加。</w:t>
      </w:r>
    </w:p>
    <w:p w14:paraId="5F381B9C">
      <w:pPr>
        <w:spacing w:line="640" w:lineRule="exact"/>
        <w:ind w:firstLine="640"/>
        <w:jc w:val="both"/>
        <w:outlineLvl w:val="2"/>
      </w:pPr>
      <w:r>
        <w:rPr>
          <w:rFonts w:ascii="黑体" w:hAnsi="黑体" w:eastAsia="黑体"/>
          <w:sz w:val="32"/>
        </w:rPr>
        <w:t>六、一般公共预算财政拨款基本支出决算情况说明</w:t>
      </w:r>
    </w:p>
    <w:p w14:paraId="476F268C">
      <w:pPr>
        <w:spacing w:line="580" w:lineRule="exact"/>
        <w:ind w:firstLine="640"/>
        <w:jc w:val="both"/>
      </w:pPr>
      <w:r>
        <w:rPr>
          <w:rFonts w:ascii="仿宋_GB2312" w:hAnsi="仿宋_GB2312" w:eastAsia="仿宋_GB2312"/>
          <w:b w:val="0"/>
          <w:sz w:val="32"/>
        </w:rPr>
        <w:t>2024年度一般公共预算财政拨款基本支出588.70万元，其中：</w:t>
      </w:r>
      <w:r>
        <w:rPr>
          <w:rFonts w:ascii="仿宋_GB2312" w:hAnsi="仿宋_GB2312" w:eastAsia="仿宋_GB2312"/>
          <w:b/>
          <w:sz w:val="32"/>
        </w:rPr>
        <w:t>人员经费560.01万元，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生活补助。</w:t>
      </w:r>
    </w:p>
    <w:p w14:paraId="7B972E9D">
      <w:pPr>
        <w:spacing w:line="580" w:lineRule="exact"/>
        <w:ind w:firstLine="640"/>
        <w:jc w:val="both"/>
      </w:pPr>
      <w:r>
        <w:rPr>
          <w:rFonts w:ascii="仿宋_GB2312" w:hAnsi="仿宋_GB2312" w:eastAsia="仿宋_GB2312"/>
          <w:b/>
          <w:sz w:val="32"/>
        </w:rPr>
        <w:t>公用经费28.69万元，</w:t>
      </w:r>
      <w:r>
        <w:rPr>
          <w:rFonts w:ascii="仿宋_GB2312" w:hAnsi="仿宋_GB2312" w:eastAsia="仿宋_GB2312"/>
          <w:b w:val="0"/>
          <w:sz w:val="32"/>
        </w:rPr>
        <w:t>包括：办公费、电费、差旅费、工会经费、福利费、公务用车运行维护费。</w:t>
      </w:r>
    </w:p>
    <w:p w14:paraId="5B32186B">
      <w:pPr>
        <w:spacing w:line="640" w:lineRule="exact"/>
        <w:ind w:firstLine="640"/>
        <w:jc w:val="both"/>
        <w:outlineLvl w:val="2"/>
      </w:pPr>
      <w:r>
        <w:rPr>
          <w:rFonts w:ascii="黑体" w:hAnsi="黑体" w:eastAsia="黑体"/>
          <w:sz w:val="32"/>
        </w:rPr>
        <w:t>七、政府性基金预算财政拨款收入支出决算情况说明</w:t>
      </w:r>
    </w:p>
    <w:p w14:paraId="25F2F64C">
      <w:pPr>
        <w:spacing w:line="580" w:lineRule="exact"/>
        <w:ind w:firstLine="640"/>
        <w:jc w:val="both"/>
      </w:pPr>
      <w:r>
        <w:rPr>
          <w:rFonts w:ascii="仿宋_GB2312" w:hAnsi="仿宋_GB2312" w:eastAsia="仿宋_GB2312"/>
          <w:b/>
          <w:sz w:val="32"/>
        </w:rPr>
        <w:t>2024年度政府性基金预算财政拨款收入总计2,011.56万元，</w:t>
      </w:r>
      <w:r>
        <w:rPr>
          <w:rFonts w:ascii="仿宋_GB2312" w:hAnsi="仿宋_GB2312" w:eastAsia="仿宋_GB2312"/>
          <w:b w:val="0"/>
          <w:sz w:val="32"/>
        </w:rPr>
        <w:t>其中：年初结转和结余0.00万元，本年收入2,011.56万元。</w:t>
      </w:r>
      <w:r>
        <w:rPr>
          <w:rFonts w:ascii="仿宋_GB2312" w:hAnsi="仿宋_GB2312" w:eastAsia="仿宋_GB2312"/>
          <w:b/>
          <w:sz w:val="32"/>
        </w:rPr>
        <w:t>政府性基金预算财政拨款支出总计2,011.56万元，</w:t>
      </w:r>
      <w:r>
        <w:rPr>
          <w:rFonts w:ascii="仿宋_GB2312" w:hAnsi="仿宋_GB2312" w:eastAsia="仿宋_GB2312"/>
          <w:b w:val="0"/>
          <w:sz w:val="32"/>
        </w:rPr>
        <w:t>其中：年末结转和结余0.00万元，本年支出2,011.56万元。</w:t>
      </w:r>
    </w:p>
    <w:p w14:paraId="530B24B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增加2,011.56万元，增长100.00%，主要原因是：本年新增新疆维吾尔自治区2024年家电促消费和以旧换新补贴活动项目、新疆维吾尔自治区2024年消费品以旧换新活动等项目。</w:t>
      </w:r>
      <w:r>
        <w:rPr>
          <w:rFonts w:ascii="仿宋_GB2312" w:hAnsi="仿宋_GB2312" w:eastAsia="仿宋_GB2312"/>
          <w:b/>
          <w:sz w:val="32"/>
        </w:rPr>
        <w:t>与年初预算相比，</w:t>
      </w:r>
      <w:r>
        <w:rPr>
          <w:rFonts w:ascii="仿宋_GB2312" w:hAnsi="仿宋_GB2312" w:eastAsia="仿宋_GB2312"/>
          <w:b w:val="0"/>
          <w:sz w:val="32"/>
        </w:rPr>
        <w:t>年初预算数0.00万元，决算数2,011.56万元，预决算差异率100.00%，主要原因是：年中追加新疆维吾尔自治区2024年家电促消费和以旧换新补贴活动项目、新疆维吾尔自治区2024年消费品以旧换新活动项目等，导致预决算存在差异。</w:t>
      </w:r>
    </w:p>
    <w:p w14:paraId="1C7ED9B2">
      <w:pPr>
        <w:spacing w:line="580" w:lineRule="exact"/>
        <w:ind w:firstLine="640"/>
        <w:jc w:val="both"/>
      </w:pPr>
      <w:r>
        <w:rPr>
          <w:rFonts w:ascii="仿宋_GB2312" w:hAnsi="仿宋_GB2312" w:eastAsia="仿宋_GB2312"/>
          <w:b w:val="0"/>
          <w:sz w:val="32"/>
        </w:rPr>
        <w:t>政府性基金预算财政拨款支出2,011.56万元。</w:t>
      </w:r>
    </w:p>
    <w:p w14:paraId="5D3CB784">
      <w:pPr>
        <w:spacing w:line="580" w:lineRule="exact"/>
        <w:ind w:firstLine="640"/>
        <w:jc w:val="both"/>
      </w:pPr>
      <w:r>
        <w:rPr>
          <w:rFonts w:ascii="仿宋_GB2312" w:hAnsi="仿宋_GB2312" w:eastAsia="仿宋_GB2312"/>
          <w:b w:val="0"/>
          <w:sz w:val="32"/>
        </w:rPr>
        <w:t>1.资源勘探工业信息等支出(类)超长期特别国债安排的支出(款)制造业(项):支出决算数为2,011.56万元，比上年决算增加2,011.56万元，增长100.00%,主要原因是：本年新增新疆维吾尔自治区2024年家电促消费和以旧换新补贴活动项目、新疆维吾尔自治区2024年消费品以旧换新活动等项目。</w:t>
      </w:r>
    </w:p>
    <w:p w14:paraId="2AD942E9">
      <w:pPr>
        <w:spacing w:line="640" w:lineRule="exact"/>
        <w:ind w:firstLine="640"/>
        <w:jc w:val="both"/>
        <w:outlineLvl w:val="2"/>
      </w:pPr>
      <w:r>
        <w:rPr>
          <w:rFonts w:ascii="黑体" w:hAnsi="黑体" w:eastAsia="黑体"/>
          <w:sz w:val="32"/>
        </w:rPr>
        <w:t>八、国有资本经营预算财政拨款收入支出决算情况说明</w:t>
      </w:r>
    </w:p>
    <w:p w14:paraId="131080B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D5072F">
      <w:pPr>
        <w:spacing w:line="640" w:lineRule="exact"/>
        <w:ind w:firstLine="640"/>
        <w:jc w:val="both"/>
        <w:outlineLvl w:val="2"/>
      </w:pPr>
      <w:r>
        <w:rPr>
          <w:rFonts w:ascii="黑体" w:hAnsi="黑体" w:eastAsia="黑体"/>
          <w:sz w:val="32"/>
        </w:rPr>
        <w:t>九、财政拨款“三公”经费支出决算情况说明</w:t>
      </w:r>
    </w:p>
    <w:p w14:paraId="6948674D">
      <w:pPr>
        <w:spacing w:line="580" w:lineRule="exact"/>
        <w:ind w:firstLine="640"/>
        <w:jc w:val="both"/>
      </w:pPr>
      <w:r>
        <w:rPr>
          <w:rFonts w:ascii="仿宋_GB2312" w:hAnsi="仿宋_GB2312" w:eastAsia="仿宋_GB2312"/>
          <w:b/>
          <w:sz w:val="32"/>
        </w:rPr>
        <w:t>2024年度财政拨款“三公”经费支出4.00万元，</w:t>
      </w:r>
      <w:r>
        <w:rPr>
          <w:rFonts w:ascii="仿宋_GB2312" w:hAnsi="仿宋_GB2312" w:eastAsia="仿宋_GB2312"/>
          <w:b w:val="0"/>
          <w:sz w:val="32"/>
        </w:rPr>
        <w:t>比上年减少0.50万元，下降11.11%，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4.00万元，占100.00%，比上年减少0.50万元，下降11.11%，主要原因是：严格落实中央八项规定精神，厉行节约，减少公务用车运行维护费。公务接待费支出0.00万元，占0.00%，比上年增加0.00万元，增长0.00%，主要原因是：2023年与2024年均未安排公务接待费支出。</w:t>
      </w:r>
    </w:p>
    <w:p w14:paraId="542C9DA3">
      <w:pPr>
        <w:spacing w:line="580" w:lineRule="exact"/>
        <w:ind w:firstLine="640"/>
        <w:jc w:val="both"/>
      </w:pPr>
      <w:r>
        <w:rPr>
          <w:rFonts w:ascii="仿宋_GB2312" w:hAnsi="仿宋_GB2312" w:eastAsia="仿宋_GB2312"/>
          <w:b/>
          <w:sz w:val="32"/>
        </w:rPr>
        <w:t>具体情况如下：</w:t>
      </w:r>
    </w:p>
    <w:p w14:paraId="629D3C2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ED2A059">
      <w:pPr>
        <w:spacing w:line="580" w:lineRule="exact"/>
        <w:ind w:firstLine="640"/>
        <w:jc w:val="both"/>
      </w:pPr>
      <w:r>
        <w:rPr>
          <w:rFonts w:ascii="仿宋_GB2312" w:hAnsi="仿宋_GB2312" w:eastAsia="仿宋_GB2312"/>
          <w:b w:val="0"/>
          <w:sz w:val="32"/>
        </w:rPr>
        <w:t>公务用车购置及运行维护费4.00万元，其中：公务用车购置费0.00万元，公务用车运行维护费4.00万元。公务用车运行维护费开支内容包括车辆加油费、车辆维修费、车辆保险费。公务用车购置数0辆，公务用车保有量1辆。国有资产占用情况中固定资产车辆1辆，与公务用车保有量差异原因是：本单位固定资产车辆与公务用车保有量一致无差异。</w:t>
      </w:r>
    </w:p>
    <w:p w14:paraId="1F0B70E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EFB048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4.00万元，决算数4.00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4.00万元，决算数4.00万元，预决算差异率0.00%，主要原因是：严格按照预算执行，预决算无差异。公务接待费全年预算数0.00万元，决算数0.00万元，预决算差异率0.00%，主要原因是：本单位无公务接待费。</w:t>
      </w:r>
    </w:p>
    <w:p w14:paraId="540763CE">
      <w:pPr>
        <w:spacing w:line="640" w:lineRule="exact"/>
        <w:ind w:firstLine="640"/>
        <w:jc w:val="both"/>
        <w:outlineLvl w:val="2"/>
      </w:pPr>
      <w:r>
        <w:rPr>
          <w:rFonts w:ascii="黑体" w:hAnsi="黑体" w:eastAsia="黑体"/>
          <w:sz w:val="32"/>
        </w:rPr>
        <w:t>十、其他重要事项的情况说明</w:t>
      </w:r>
    </w:p>
    <w:p w14:paraId="1D44D2E3">
      <w:pPr>
        <w:spacing w:line="640" w:lineRule="exact"/>
        <w:ind w:firstLine="640"/>
        <w:jc w:val="both"/>
        <w:outlineLvl w:val="3"/>
      </w:pPr>
      <w:r>
        <w:rPr>
          <w:rFonts w:ascii="楷体_GB2312" w:hAnsi="楷体_GB2312" w:eastAsia="楷体_GB2312"/>
          <w:b/>
          <w:sz w:val="32"/>
        </w:rPr>
        <w:t>（一）机关运行经费及公用经费支出情况</w:t>
      </w:r>
    </w:p>
    <w:p w14:paraId="79904756">
      <w:pPr>
        <w:spacing w:line="580" w:lineRule="exact"/>
        <w:ind w:firstLine="640"/>
        <w:jc w:val="both"/>
      </w:pPr>
      <w:r>
        <w:rPr>
          <w:rFonts w:ascii="仿宋_GB2312" w:hAnsi="仿宋_GB2312" w:eastAsia="仿宋_GB2312"/>
          <w:b w:val="0"/>
          <w:sz w:val="32"/>
        </w:rPr>
        <w:t>2024年度和田地区商务局（行政单位和参照公务员法管理事业单位）机关运行经费支出28.69万元，比上年减少58.08万元，下降66.94%，主要原因是：本年减少差旅费、劳务费、办公费，导致机关运行经费减少。</w:t>
      </w:r>
    </w:p>
    <w:p w14:paraId="4846E905">
      <w:pPr>
        <w:spacing w:line="640" w:lineRule="exact"/>
        <w:ind w:firstLine="640"/>
        <w:jc w:val="both"/>
        <w:outlineLvl w:val="3"/>
      </w:pPr>
      <w:r>
        <w:rPr>
          <w:rFonts w:ascii="楷体_GB2312" w:hAnsi="楷体_GB2312" w:eastAsia="楷体_GB2312"/>
          <w:b/>
          <w:sz w:val="32"/>
        </w:rPr>
        <w:t>（二）政府采购情况</w:t>
      </w:r>
    </w:p>
    <w:p w14:paraId="761C0AD0">
      <w:pPr>
        <w:spacing w:line="580" w:lineRule="exact"/>
        <w:ind w:firstLine="640"/>
        <w:jc w:val="both"/>
      </w:pPr>
      <w:r>
        <w:rPr>
          <w:rFonts w:ascii="仿宋_GB2312" w:hAnsi="仿宋_GB2312" w:eastAsia="仿宋_GB2312"/>
          <w:b w:val="0"/>
          <w:sz w:val="32"/>
        </w:rPr>
        <w:t>2024年度政府采购支出总额2,016.24万元，其中：政府采购货物支出48.40万元、政府采购工程支出0.00万元、政府采购服务支出1,967.85万元。</w:t>
      </w:r>
    </w:p>
    <w:p w14:paraId="1D8EA7A7">
      <w:pPr>
        <w:spacing w:line="580" w:lineRule="exact"/>
        <w:ind w:firstLine="640"/>
        <w:jc w:val="both"/>
      </w:pPr>
      <w:r>
        <w:rPr>
          <w:rFonts w:ascii="仿宋_GB2312" w:hAnsi="仿宋_GB2312" w:eastAsia="仿宋_GB2312"/>
          <w:b w:val="0"/>
          <w:sz w:val="32"/>
        </w:rPr>
        <w:t>授予中小企业合同金额2,016.24万元，占政府采购支出总额的100.00%，其中：授予小微企业合同金额1,470.24万元，占政府采购支出总额的72.92%。</w:t>
      </w:r>
    </w:p>
    <w:p w14:paraId="41BF70A4">
      <w:pPr>
        <w:spacing w:line="640" w:lineRule="exact"/>
        <w:ind w:firstLine="640"/>
        <w:jc w:val="both"/>
        <w:outlineLvl w:val="3"/>
      </w:pPr>
      <w:r>
        <w:rPr>
          <w:rFonts w:ascii="楷体_GB2312" w:hAnsi="楷体_GB2312" w:eastAsia="楷体_GB2312"/>
          <w:b/>
          <w:sz w:val="32"/>
        </w:rPr>
        <w:t>（三）国有资产占用情况说明</w:t>
      </w:r>
    </w:p>
    <w:p w14:paraId="2EE8EA5F">
      <w:pPr>
        <w:spacing w:line="580" w:lineRule="exact"/>
        <w:ind w:firstLine="640"/>
        <w:jc w:val="both"/>
      </w:pPr>
      <w:r>
        <w:rPr>
          <w:rFonts w:ascii="仿宋_GB2312" w:hAnsi="仿宋_GB2312" w:eastAsia="仿宋_GB2312"/>
          <w:b w:val="0"/>
          <w:sz w:val="32"/>
        </w:rPr>
        <w:t>截至2024年12月31日，房屋0.00平方米，价值0.00万元。车辆1辆，价值23.38万元，其中：副部（省）级及以上领导用车0辆、主要负责人用车1辆、机要通信用车0辆、应急保障用车0辆、执法执勤用车0辆、特种专业技术用车0辆、离退休干部服务用车0辆、其他用车0辆，其他用车主要是：本单位无其他用车。单价100万元（含）以上设备（不含车辆）0台（套）。</w:t>
      </w:r>
    </w:p>
    <w:p w14:paraId="1941F7DA">
      <w:pPr>
        <w:spacing w:line="640" w:lineRule="exact"/>
        <w:ind w:firstLine="640"/>
        <w:jc w:val="both"/>
        <w:outlineLvl w:val="2"/>
      </w:pPr>
      <w:r>
        <w:rPr>
          <w:rFonts w:ascii="黑体" w:hAnsi="黑体" w:eastAsia="黑体"/>
          <w:sz w:val="32"/>
        </w:rPr>
        <w:t>十一、预算绩效的情况说明</w:t>
      </w:r>
    </w:p>
    <w:p w14:paraId="3BAA498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5,467.17万元，实际执行总额5,399.24万元；预算绩效评价项目5个，全年预算数3,829.55万元，全年执行数3,829.55万元。预算绩效管理取得的成效：一是招</w:t>
      </w:r>
      <w:r>
        <w:rPr>
          <w:rFonts w:hint="eastAsia" w:ascii="仿宋_GB2312" w:hAnsi="仿宋_GB2312" w:eastAsia="仿宋_GB2312"/>
          <w:b w:val="0"/>
          <w:sz w:val="32"/>
          <w:lang w:eastAsia="zh-CN"/>
        </w:rPr>
        <w:t>商引资</w:t>
      </w:r>
      <w:r>
        <w:rPr>
          <w:rFonts w:ascii="仿宋_GB2312" w:hAnsi="仿宋_GB2312" w:eastAsia="仿宋_GB2312"/>
          <w:b w:val="0"/>
          <w:sz w:val="32"/>
        </w:rPr>
        <w:t>汇聚新动能。二是消费提质再上新台阶。三是外贸稳增实现新突破。四是电子商务激发新活力。发现的问题及原因：一是重点发展的产业优势挖掘不突出</w:t>
      </w:r>
      <w:r>
        <w:rPr>
          <w:rFonts w:hint="eastAsia" w:ascii="仿宋_GB2312" w:hAnsi="仿宋_GB2312" w:eastAsia="仿宋_GB2312"/>
          <w:b w:val="0"/>
          <w:sz w:val="32"/>
          <w:lang w:val="en-US" w:eastAsia="zh-CN"/>
        </w:rPr>
        <w:t>,</w:t>
      </w:r>
      <w:r>
        <w:rPr>
          <w:rFonts w:ascii="仿宋_GB2312" w:hAnsi="仿宋_GB2312" w:eastAsia="仿宋_GB2312"/>
          <w:b w:val="0"/>
          <w:sz w:val="32"/>
        </w:rPr>
        <w:t>工业体系建设配置不合理。二是驻外招商信息掌握不对称，各县市、行业部门存在配合不够默契的现象，在跟踪项目信息、接待考察、项目推进等方面存在一定脱节，全地区招商资源统筹还需要进一步加强。三是各县市对产业定位的研究还不深、不透，地区</w:t>
      </w:r>
      <w:r>
        <w:rPr>
          <w:rFonts w:hint="eastAsia" w:ascii="仿宋_GB2312" w:hAnsi="仿宋_GB2312" w:eastAsia="仿宋_GB2312"/>
          <w:b w:val="0"/>
          <w:sz w:val="32"/>
          <w:lang w:eastAsia="zh-CN"/>
        </w:rPr>
        <w:t>产业园</w:t>
      </w:r>
      <w:r>
        <w:rPr>
          <w:rFonts w:ascii="仿宋_GB2312" w:hAnsi="仿宋_GB2312" w:eastAsia="仿宋_GB2312"/>
          <w:b w:val="0"/>
          <w:sz w:val="32"/>
        </w:rPr>
        <w:t>产业同质化现象突出，现有产业的细分行业延链不够精准，导致招引项目配套链条延伸方面关联度较低，难以形成特色鲜明的产业集群。四是招商部门工作人员严重不足，大型展会、推介、外出对接没有人员。五是缺少核心企业和高附加值产品。下一步改进措施：一是抢抓发展机遇。</w:t>
      </w:r>
      <w:r>
        <w:rPr>
          <w:rFonts w:ascii="仿宋_GB2312" w:hAnsi="仿宋_GB2312" w:eastAsia="仿宋_GB2312"/>
          <w:b w:val="0"/>
          <w:bCs w:val="0"/>
          <w:sz w:val="32"/>
        </w:rPr>
        <w:t>二是健全工作机制。三是聚力拓市场稳外贸。四是培育外贸新型业态。聚焦广州、杭州等</w:t>
      </w:r>
      <w:bookmarkStart w:id="0" w:name="OLE_LINK1"/>
      <w:r>
        <w:rPr>
          <w:rFonts w:hint="eastAsia" w:ascii="仿宋_GB2312" w:hAnsi="仿宋_GB2312" w:eastAsia="仿宋_GB2312"/>
          <w:b w:val="0"/>
          <w:bCs w:val="0"/>
          <w:sz w:val="32"/>
          <w:lang w:val="en-US" w:eastAsia="zh-CN"/>
        </w:rPr>
        <w:t>跨区域</w:t>
      </w:r>
      <w:bookmarkEnd w:id="0"/>
      <w:r>
        <w:rPr>
          <w:rFonts w:ascii="仿宋_GB2312" w:hAnsi="仿宋_GB2312" w:eastAsia="仿宋_GB2312"/>
          <w:b w:val="0"/>
          <w:bCs w:val="0"/>
          <w:sz w:val="32"/>
        </w:rPr>
        <w:t>电商发达地区，开展资源对接，引进</w:t>
      </w:r>
      <w:r>
        <w:rPr>
          <w:rFonts w:hint="eastAsia" w:ascii="仿宋_GB2312" w:hAnsi="仿宋_GB2312" w:eastAsia="仿宋_GB2312"/>
          <w:b w:val="0"/>
          <w:bCs w:val="0"/>
          <w:sz w:val="32"/>
          <w:lang w:val="en-US" w:eastAsia="zh-CN"/>
        </w:rPr>
        <w:t>跨区域</w:t>
      </w:r>
      <w:r>
        <w:rPr>
          <w:rFonts w:ascii="仿宋_GB2312" w:hAnsi="仿宋_GB2312" w:eastAsia="仿宋_GB2312"/>
          <w:b w:val="0"/>
          <w:bCs w:val="0"/>
          <w:sz w:val="32"/>
        </w:rPr>
        <w:t>电商项目，推动跨</w:t>
      </w:r>
      <w:r>
        <w:rPr>
          <w:rFonts w:hint="eastAsia" w:ascii="仿宋_GB2312" w:hAnsi="仿宋_GB2312" w:eastAsia="仿宋_GB2312"/>
          <w:b w:val="0"/>
          <w:bCs w:val="0"/>
          <w:sz w:val="32"/>
          <w:lang w:val="en-US" w:eastAsia="zh-CN"/>
        </w:rPr>
        <w:t>区域</w:t>
      </w:r>
      <w:r>
        <w:rPr>
          <w:rFonts w:ascii="仿宋_GB2312" w:hAnsi="仿宋_GB2312" w:eastAsia="仿宋_GB2312"/>
          <w:b w:val="0"/>
          <w:bCs w:val="0"/>
          <w:sz w:val="32"/>
        </w:rPr>
        <w:t>电商企业布局，力争新建落地跨</w:t>
      </w:r>
      <w:r>
        <w:rPr>
          <w:rFonts w:hint="eastAsia" w:ascii="仿宋_GB2312" w:hAnsi="仿宋_GB2312" w:eastAsia="仿宋_GB2312"/>
          <w:b w:val="0"/>
          <w:bCs w:val="0"/>
          <w:sz w:val="32"/>
          <w:lang w:val="en-US" w:eastAsia="zh-CN"/>
        </w:rPr>
        <w:t>区域</w:t>
      </w:r>
      <w:r>
        <w:rPr>
          <w:rFonts w:ascii="仿宋_GB2312" w:hAnsi="仿宋_GB2312" w:eastAsia="仿宋_GB2312"/>
          <w:b w:val="0"/>
          <w:bCs w:val="0"/>
          <w:sz w:val="32"/>
        </w:rPr>
        <w:t>电商企业至少1家。</w:t>
      </w:r>
      <w:r>
        <w:rPr>
          <w:rFonts w:ascii="仿宋_GB2312" w:hAnsi="仿宋_GB2312" w:eastAsia="仿宋_GB2312"/>
          <w:b w:val="0"/>
          <w:sz w:val="32"/>
        </w:rPr>
        <w:t>五是培育商贸业态增长。紧盯重点商贸单位，主动对接服务、动态跟踪，常态化做好“批、零、住、餐”行业企业和个体入统。具体附整体支出绩效自评表，项目支出绩效自评表和评价报告。</w:t>
      </w:r>
    </w:p>
    <w:p w14:paraId="447D43F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E563DAC">
        <w:tblPrEx>
          <w:tblCellMar>
            <w:top w:w="0" w:type="dxa"/>
            <w:left w:w="108" w:type="dxa"/>
            <w:bottom w:w="0" w:type="dxa"/>
            <w:right w:w="108" w:type="dxa"/>
          </w:tblCellMar>
        </w:tblPrEx>
        <w:tc>
          <w:tcPr>
            <w:tcW w:w="8847" w:type="dxa"/>
            <w:gridSpan w:val="9"/>
            <w:vAlign w:val="center"/>
          </w:tcPr>
          <w:p w14:paraId="3C99714A">
            <w:pPr>
              <w:jc w:val="center"/>
            </w:pPr>
            <w:r>
              <w:rPr>
                <w:rFonts w:ascii="宋体" w:hAnsi="宋体" w:eastAsia="宋体"/>
                <w:sz w:val="24"/>
              </w:rPr>
              <w:t>单位整体支出绩效自评表</w:t>
            </w:r>
          </w:p>
        </w:tc>
      </w:tr>
      <w:tr w14:paraId="71860493">
        <w:tblPrEx>
          <w:tblCellMar>
            <w:top w:w="0" w:type="dxa"/>
            <w:left w:w="108" w:type="dxa"/>
            <w:bottom w:w="0" w:type="dxa"/>
            <w:right w:w="108" w:type="dxa"/>
          </w:tblCellMar>
        </w:tblPrEx>
        <w:tc>
          <w:tcPr>
            <w:tcW w:w="8847" w:type="dxa"/>
            <w:gridSpan w:val="9"/>
            <w:vAlign w:val="center"/>
          </w:tcPr>
          <w:p w14:paraId="48C41C50">
            <w:pPr>
              <w:jc w:val="center"/>
            </w:pPr>
            <w:r>
              <w:rPr>
                <w:rFonts w:ascii="宋体" w:hAnsi="宋体" w:eastAsia="宋体"/>
                <w:sz w:val="24"/>
              </w:rPr>
              <w:t>（2024年度）</w:t>
            </w:r>
          </w:p>
        </w:tc>
      </w:tr>
      <w:tr w14:paraId="2419C1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AEC4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916A54">
            <w:pPr>
              <w:jc w:val="center"/>
            </w:pPr>
            <w:r>
              <w:rPr>
                <w:rFonts w:ascii="宋体" w:hAnsi="宋体" w:eastAsia="宋体"/>
                <w:sz w:val="16"/>
              </w:rPr>
              <w:t>和田地区商务局</w:t>
            </w:r>
          </w:p>
        </w:tc>
      </w:tr>
      <w:tr w14:paraId="76941A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91D64">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CEBF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DC08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C704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208B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9A7D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4613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8501F">
            <w:pPr>
              <w:jc w:val="center"/>
            </w:pPr>
            <w:r>
              <w:rPr>
                <w:rFonts w:ascii="宋体" w:hAnsi="宋体" w:eastAsia="宋体"/>
                <w:sz w:val="16"/>
              </w:rPr>
              <w:t>得分</w:t>
            </w:r>
          </w:p>
        </w:tc>
      </w:tr>
      <w:tr w14:paraId="4BAF16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C3E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CC6C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7B144">
            <w:pPr>
              <w:jc w:val="center"/>
            </w:pPr>
            <w:r>
              <w:rPr>
                <w:rFonts w:ascii="宋体" w:hAnsi="宋体" w:eastAsia="宋体"/>
                <w:sz w:val="16"/>
              </w:rPr>
              <w:t>1,969.86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17288">
            <w:pPr>
              <w:jc w:val="center"/>
            </w:pPr>
            <w:r>
              <w:rPr>
                <w:rFonts w:ascii="宋体" w:hAnsi="宋体" w:eastAsia="宋体"/>
                <w:sz w:val="16"/>
              </w:rPr>
              <w:t>5,467.17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FD490">
            <w:pPr>
              <w:jc w:val="center"/>
            </w:pPr>
            <w:r>
              <w:rPr>
                <w:rFonts w:ascii="宋体" w:hAnsi="宋体" w:eastAsia="宋体"/>
                <w:sz w:val="16"/>
              </w:rPr>
              <w:t>5,399.24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86B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A0912">
            <w:pPr>
              <w:jc w:val="center"/>
            </w:pPr>
            <w:r>
              <w:rPr>
                <w:rFonts w:ascii="宋体" w:hAnsi="宋体" w:eastAsia="宋体"/>
                <w:sz w:val="16"/>
              </w:rPr>
              <w:t>98.76%</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E6AB6">
            <w:pPr>
              <w:jc w:val="center"/>
            </w:pPr>
            <w:r>
              <w:rPr>
                <w:rFonts w:ascii="宋体" w:hAnsi="宋体" w:eastAsia="宋体"/>
                <w:sz w:val="16"/>
              </w:rPr>
              <w:t>9.88</w:t>
            </w:r>
          </w:p>
        </w:tc>
      </w:tr>
      <w:tr w14:paraId="4F97F9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212E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B4BF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4E55B">
            <w:pPr>
              <w:jc w:val="center"/>
            </w:pPr>
            <w:r>
              <w:rPr>
                <w:rFonts w:ascii="宋体" w:hAnsi="宋体" w:eastAsia="宋体"/>
                <w:sz w:val="16"/>
              </w:rPr>
              <w:t>23.56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67C8B">
            <w:pPr>
              <w:jc w:val="center"/>
            </w:pPr>
            <w:r>
              <w:rPr>
                <w:rFonts w:ascii="宋体" w:hAnsi="宋体" w:eastAsia="宋体"/>
                <w:sz w:val="16"/>
              </w:rPr>
              <w:t>3,203.48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1F26D">
            <w:pPr>
              <w:jc w:val="center"/>
            </w:pPr>
            <w:r>
              <w:rPr>
                <w:rFonts w:ascii="宋体" w:hAnsi="宋体" w:eastAsia="宋体"/>
                <w:sz w:val="16"/>
              </w:rPr>
              <w:t>3,203.48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633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CED1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D71AB">
            <w:pPr>
              <w:jc w:val="center"/>
            </w:pPr>
            <w:r>
              <w:rPr>
                <w:rFonts w:ascii="宋体" w:hAnsi="宋体" w:eastAsia="宋体"/>
                <w:sz w:val="16"/>
              </w:rPr>
              <w:t>—</w:t>
            </w:r>
          </w:p>
        </w:tc>
      </w:tr>
      <w:tr w14:paraId="25CA6F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DFBB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83EB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84CB3">
            <w:pPr>
              <w:jc w:val="center"/>
            </w:pPr>
            <w:r>
              <w:rPr>
                <w:rFonts w:ascii="宋体" w:hAnsi="宋体" w:eastAsia="宋体"/>
                <w:sz w:val="16"/>
              </w:rPr>
              <w:t>1,078.77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3753D">
            <w:pPr>
              <w:jc w:val="center"/>
            </w:pPr>
            <w:r>
              <w:rPr>
                <w:rFonts w:ascii="宋体" w:hAnsi="宋体" w:eastAsia="宋体"/>
                <w:sz w:val="16"/>
              </w:rPr>
              <w:t>1,001.17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F9A89">
            <w:pPr>
              <w:jc w:val="center"/>
            </w:pPr>
            <w:r>
              <w:rPr>
                <w:rFonts w:ascii="宋体" w:hAnsi="宋体" w:eastAsia="宋体"/>
                <w:sz w:val="16"/>
              </w:rPr>
              <w:t>933.24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CEB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8AA8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777CB">
            <w:pPr>
              <w:jc w:val="center"/>
            </w:pPr>
            <w:r>
              <w:rPr>
                <w:rFonts w:ascii="宋体" w:hAnsi="宋体" w:eastAsia="宋体"/>
                <w:sz w:val="16"/>
              </w:rPr>
              <w:t>—</w:t>
            </w:r>
          </w:p>
        </w:tc>
      </w:tr>
      <w:tr w14:paraId="5166E6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4F5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963C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5DCB7">
            <w:pPr>
              <w:jc w:val="center"/>
            </w:pPr>
            <w:r>
              <w:rPr>
                <w:rFonts w:ascii="宋体" w:hAnsi="宋体" w:eastAsia="宋体"/>
                <w:sz w:val="16"/>
              </w:rPr>
              <w:t>867.53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BDF4E">
            <w:pPr>
              <w:jc w:val="center"/>
            </w:pPr>
            <w:r>
              <w:rPr>
                <w:rFonts w:ascii="宋体" w:hAnsi="宋体" w:eastAsia="宋体"/>
                <w:sz w:val="16"/>
              </w:rPr>
              <w:t>1,262.52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3BCFA">
            <w:pPr>
              <w:jc w:val="center"/>
            </w:pPr>
            <w:r>
              <w:rPr>
                <w:rFonts w:ascii="宋体" w:hAnsi="宋体" w:eastAsia="宋体"/>
                <w:sz w:val="16"/>
              </w:rPr>
              <w:t>1,262.52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618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9BC9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D171F">
            <w:pPr>
              <w:jc w:val="center"/>
            </w:pPr>
            <w:r>
              <w:rPr>
                <w:rFonts w:ascii="宋体" w:hAnsi="宋体" w:eastAsia="宋体"/>
                <w:sz w:val="16"/>
              </w:rPr>
              <w:t>—</w:t>
            </w:r>
          </w:p>
        </w:tc>
      </w:tr>
      <w:tr w14:paraId="6FC810D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0877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D7931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A7D8F0">
            <w:pPr>
              <w:jc w:val="center"/>
            </w:pPr>
            <w:r>
              <w:rPr>
                <w:rFonts w:ascii="宋体" w:hAnsi="宋体" w:eastAsia="宋体"/>
                <w:sz w:val="16"/>
              </w:rPr>
              <w:t>实际完成目标</w:t>
            </w:r>
          </w:p>
        </w:tc>
      </w:tr>
      <w:tr w14:paraId="7258FD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DB09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6A9ED3">
            <w:pPr>
              <w:jc w:val="both"/>
            </w:pPr>
            <w:r>
              <w:rPr>
                <w:rFonts w:ascii="宋体" w:hAnsi="宋体" w:eastAsia="宋体"/>
                <w:sz w:val="16"/>
              </w:rPr>
              <w:t>目标1；统筹安排，规范管理，严格控制各项财政支出，确保本单位正常运行，严格落实预算管理机制；</w:t>
            </w:r>
            <w:r>
              <w:rPr>
                <w:rFonts w:ascii="宋体" w:hAnsi="宋体" w:eastAsia="宋体"/>
                <w:sz w:val="16"/>
              </w:rPr>
              <w:br w:type="textWrapping"/>
            </w:r>
            <w:r>
              <w:rPr>
                <w:rFonts w:ascii="宋体" w:hAnsi="宋体" w:eastAsia="宋体"/>
                <w:sz w:val="16"/>
              </w:rPr>
              <w:t>目标2：控制成本，降低部门基本支出的总成本，确保在预算范围内运营，并在必要的情况下进行必要的调整，以确保财务稳健；</w:t>
            </w:r>
            <w:r>
              <w:rPr>
                <w:rFonts w:ascii="宋体" w:hAnsi="宋体" w:eastAsia="宋体"/>
                <w:sz w:val="16"/>
              </w:rPr>
              <w:br w:type="textWrapping"/>
            </w:r>
            <w:r>
              <w:rPr>
                <w:rFonts w:ascii="宋体" w:hAnsi="宋体" w:eastAsia="宋体"/>
                <w:sz w:val="16"/>
              </w:rPr>
              <w:t>目标3：提高效率，完成2024年各项指标</w:t>
            </w:r>
            <w:r>
              <w:rPr>
                <w:rFonts w:hint="eastAsia" w:ascii="宋体" w:hAnsi="宋体"/>
                <w:sz w:val="16"/>
                <w:lang w:val="en-US" w:eastAsia="zh-CN"/>
              </w:rPr>
              <w:t>任务</w:t>
            </w:r>
            <w:r>
              <w:rPr>
                <w:rFonts w:ascii="宋体" w:hAnsi="宋体" w:eastAsia="宋体"/>
                <w:sz w:val="16"/>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17590E">
            <w:pPr>
              <w:jc w:val="both"/>
            </w:pPr>
            <w:r>
              <w:rPr>
                <w:rFonts w:hint="eastAsia" w:ascii="宋体" w:hAnsi="宋体"/>
                <w:sz w:val="16"/>
                <w:lang w:eastAsia="zh-CN"/>
              </w:rPr>
              <w:t>截至2024</w:t>
            </w:r>
            <w:r>
              <w:rPr>
                <w:rFonts w:ascii="宋体" w:hAnsi="宋体" w:eastAsia="宋体"/>
                <w:sz w:val="16"/>
              </w:rPr>
              <w:t>年12月31日，本单位实际完成招</w:t>
            </w:r>
            <w:r>
              <w:rPr>
                <w:rFonts w:hint="eastAsia" w:ascii="宋体" w:hAnsi="宋体"/>
                <w:sz w:val="16"/>
                <w:lang w:eastAsia="zh-CN"/>
              </w:rPr>
              <w:t>商引资项</w:t>
            </w:r>
            <w:r>
              <w:rPr>
                <w:rFonts w:ascii="宋体" w:hAnsi="宋体" w:eastAsia="宋体"/>
                <w:sz w:val="16"/>
              </w:rPr>
              <w:t>目任务，外贸进</w:t>
            </w:r>
            <w:r>
              <w:rPr>
                <w:rFonts w:hint="eastAsia" w:ascii="宋体" w:hAnsi="宋体"/>
                <w:sz w:val="16"/>
                <w:lang w:val="en-US" w:eastAsia="zh-CN"/>
              </w:rPr>
              <w:t>指标</w:t>
            </w:r>
            <w:r>
              <w:rPr>
                <w:rFonts w:ascii="宋体" w:hAnsi="宋体" w:eastAsia="宋体"/>
                <w:sz w:val="16"/>
              </w:rPr>
              <w:t>，社会消费品零售总额</w:t>
            </w:r>
            <w:r>
              <w:rPr>
                <w:rFonts w:hint="eastAsia" w:ascii="宋体" w:hAnsi="宋体"/>
                <w:sz w:val="16"/>
                <w:lang w:val="en-US" w:eastAsia="zh-CN"/>
              </w:rPr>
              <w:t>指标</w:t>
            </w:r>
            <w:r>
              <w:rPr>
                <w:rFonts w:ascii="宋体" w:hAnsi="宋体" w:eastAsia="宋体"/>
                <w:sz w:val="16"/>
              </w:rPr>
              <w:t>，招</w:t>
            </w:r>
            <w:r>
              <w:rPr>
                <w:rFonts w:hint="eastAsia" w:ascii="宋体" w:hAnsi="宋体"/>
                <w:sz w:val="16"/>
                <w:lang w:eastAsia="zh-CN"/>
              </w:rPr>
              <w:t>商引资</w:t>
            </w:r>
            <w:r>
              <w:rPr>
                <w:rFonts w:hint="eastAsia" w:ascii="宋体" w:hAnsi="宋体"/>
                <w:sz w:val="16"/>
                <w:lang w:val="en-US" w:eastAsia="zh-CN"/>
              </w:rPr>
              <w:t>带动就业，</w:t>
            </w:r>
            <w:r>
              <w:rPr>
                <w:rFonts w:ascii="宋体" w:hAnsi="宋体" w:eastAsia="宋体"/>
                <w:sz w:val="16"/>
              </w:rPr>
              <w:t>通过完成以上工作，实现了创新招商方式，跟踪服务签约项目，简化审批程序，加强督查督办，确保项目早落地、早开工，提高招</w:t>
            </w:r>
            <w:r>
              <w:rPr>
                <w:rFonts w:hint="eastAsia" w:ascii="宋体" w:hAnsi="宋体"/>
                <w:sz w:val="16"/>
                <w:lang w:eastAsia="zh-CN"/>
              </w:rPr>
              <w:t>商引资</w:t>
            </w:r>
            <w:r>
              <w:rPr>
                <w:rFonts w:ascii="宋体" w:hAnsi="宋体" w:eastAsia="宋体"/>
                <w:sz w:val="16"/>
              </w:rPr>
              <w:t>的成功率和实效性的效益。</w:t>
            </w:r>
          </w:p>
        </w:tc>
      </w:tr>
      <w:tr w14:paraId="0FA764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8BA2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E17A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D53A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DF9D9">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85B5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060B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65F7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8B0E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9E8EF">
            <w:pPr>
              <w:jc w:val="center"/>
            </w:pPr>
            <w:r>
              <w:rPr>
                <w:rFonts w:ascii="宋体" w:hAnsi="宋体" w:eastAsia="宋体"/>
                <w:sz w:val="16"/>
              </w:rPr>
              <w:t>得分</w:t>
            </w:r>
          </w:p>
        </w:tc>
      </w:tr>
      <w:tr w14:paraId="47929B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94EDF">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E4BE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98E96">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F76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58386">
            <w:pPr>
              <w:jc w:val="center"/>
            </w:pPr>
            <w:r>
              <w:rPr>
                <w:rFonts w:ascii="宋体" w:hAnsi="宋体" w:eastAsia="宋体"/>
                <w:sz w:val="16"/>
              </w:rPr>
              <w:t>财务管理制度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986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89A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3B4F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6F532">
            <w:pPr>
              <w:jc w:val="center"/>
            </w:pPr>
            <w:r>
              <w:rPr>
                <w:rFonts w:ascii="宋体" w:hAnsi="宋体" w:eastAsia="宋体"/>
                <w:sz w:val="16"/>
              </w:rPr>
              <w:t>10</w:t>
            </w:r>
          </w:p>
        </w:tc>
      </w:tr>
      <w:tr w14:paraId="4E3998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ADE6E">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1A91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44E2D">
            <w:pPr>
              <w:jc w:val="center"/>
            </w:pPr>
            <w:r>
              <w:rPr>
                <w:rFonts w:ascii="宋体" w:hAnsi="宋体" w:eastAsia="宋体"/>
                <w:sz w:val="16"/>
              </w:rPr>
              <w:t>管理制度健全性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C3B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C7169">
            <w:pPr>
              <w:jc w:val="center"/>
            </w:pPr>
            <w:r>
              <w:rPr>
                <w:rFonts w:ascii="宋体" w:hAnsi="宋体" w:eastAsia="宋体"/>
                <w:sz w:val="16"/>
              </w:rPr>
              <w:t>2024年机关管理制度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876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27C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3C8B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36933">
            <w:pPr>
              <w:jc w:val="center"/>
            </w:pPr>
            <w:r>
              <w:rPr>
                <w:rFonts w:ascii="宋体" w:hAnsi="宋体" w:eastAsia="宋体"/>
                <w:sz w:val="16"/>
              </w:rPr>
              <w:t>10</w:t>
            </w:r>
          </w:p>
        </w:tc>
      </w:tr>
      <w:tr w14:paraId="30DB8F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505E0">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8E39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B5E19">
            <w:pPr>
              <w:jc w:val="center"/>
            </w:pPr>
            <w:r>
              <w:rPr>
                <w:rFonts w:ascii="宋体" w:hAnsi="宋体" w:eastAsia="宋体"/>
                <w:sz w:val="16"/>
              </w:rPr>
              <w:t>完成招商引资目标任务金额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CAA7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082CF">
            <w:pPr>
              <w:jc w:val="center"/>
            </w:pPr>
            <w:r>
              <w:rPr>
                <w:rFonts w:ascii="宋体" w:hAnsi="宋体" w:eastAsia="宋体"/>
                <w:sz w:val="16"/>
              </w:rPr>
              <w:t>政府工作报告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AEB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70DF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52DA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5A826">
            <w:pPr>
              <w:jc w:val="center"/>
            </w:pPr>
          </w:p>
        </w:tc>
      </w:tr>
      <w:tr w14:paraId="0802EF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BDC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FF6F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0A559">
            <w:pPr>
              <w:jc w:val="center"/>
            </w:pPr>
            <w:r>
              <w:rPr>
                <w:rFonts w:ascii="宋体" w:hAnsi="宋体" w:eastAsia="宋体"/>
                <w:sz w:val="16"/>
              </w:rPr>
              <w:t>外贸进出口额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8218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EC6ED">
            <w:pPr>
              <w:jc w:val="center"/>
            </w:pPr>
            <w:r>
              <w:rPr>
                <w:rFonts w:ascii="宋体" w:hAnsi="宋体" w:eastAsia="宋体"/>
                <w:sz w:val="16"/>
              </w:rPr>
              <w:t>政府工作报告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ADCE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4C04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FBDF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B1A1E">
            <w:pPr>
              <w:jc w:val="center"/>
            </w:pPr>
          </w:p>
        </w:tc>
      </w:tr>
      <w:tr w14:paraId="688648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1A5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71E5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E3BAD">
            <w:pPr>
              <w:jc w:val="center"/>
            </w:pPr>
            <w:r>
              <w:rPr>
                <w:rFonts w:ascii="宋体" w:hAnsi="宋体" w:eastAsia="宋体"/>
                <w:sz w:val="16"/>
              </w:rPr>
              <w:t>社会消费品零售总额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0849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3DC5C">
            <w:pPr>
              <w:jc w:val="center"/>
            </w:pPr>
            <w:r>
              <w:rPr>
                <w:rFonts w:ascii="宋体" w:hAnsi="宋体" w:eastAsia="宋体"/>
                <w:sz w:val="16"/>
              </w:rPr>
              <w:t>政府工作报告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80A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E4EB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72BB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3EBAA">
            <w:pPr>
              <w:jc w:val="center"/>
            </w:pPr>
          </w:p>
        </w:tc>
      </w:tr>
      <w:tr w14:paraId="41D18D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B660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90D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9EE94">
            <w:pPr>
              <w:jc w:val="center"/>
            </w:pPr>
            <w:r>
              <w:rPr>
                <w:rFonts w:ascii="宋体" w:hAnsi="宋体" w:eastAsia="宋体"/>
                <w:sz w:val="16"/>
              </w:rPr>
              <w:t>提高单位服务能力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72B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A5AA0">
            <w:pPr>
              <w:jc w:val="center"/>
            </w:pPr>
            <w:r>
              <w:rPr>
                <w:rFonts w:ascii="宋体" w:hAnsi="宋体" w:eastAsia="宋体"/>
                <w:sz w:val="16"/>
              </w:rPr>
              <w:t>2024年商务工作要点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7F0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FAB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1F16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4EEE7">
            <w:pPr>
              <w:jc w:val="center"/>
            </w:pPr>
            <w:r>
              <w:rPr>
                <w:rFonts w:ascii="宋体" w:hAnsi="宋体" w:eastAsia="宋体"/>
                <w:sz w:val="16"/>
              </w:rPr>
              <w:t>10</w:t>
            </w:r>
          </w:p>
        </w:tc>
      </w:tr>
      <w:tr w14:paraId="0C2D11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E4755">
            <w:pPr>
              <w:jc w:val="center"/>
            </w:pPr>
            <w:r>
              <w:rPr>
                <w:rFonts w:ascii="宋体" w:hAnsi="宋体" w:eastAsia="宋体"/>
                <w:sz w:val="16"/>
              </w:rPr>
              <w:t>社会效益</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87B6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014A4">
            <w:pPr>
              <w:jc w:val="center"/>
            </w:pPr>
            <w:r>
              <w:rPr>
                <w:rFonts w:ascii="宋体" w:hAnsi="宋体" w:eastAsia="宋体"/>
                <w:sz w:val="16"/>
              </w:rPr>
              <w:t>招商引资创造就业岗位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2DDD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8F40A">
            <w:pPr>
              <w:jc w:val="center"/>
            </w:pPr>
            <w:r>
              <w:rPr>
                <w:rFonts w:ascii="宋体" w:hAnsi="宋体" w:eastAsia="宋体"/>
                <w:sz w:val="16"/>
              </w:rPr>
              <w:t>2024年商务工作要点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480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5F48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37D3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EFE34">
            <w:pPr>
              <w:jc w:val="center"/>
            </w:pPr>
          </w:p>
        </w:tc>
      </w:tr>
      <w:tr w14:paraId="2A9845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BAF94">
            <w:pPr>
              <w:jc w:val="center"/>
            </w:pPr>
            <w:r>
              <w:rPr>
                <w:rFonts w:ascii="宋体" w:hAnsi="宋体" w:eastAsia="宋体"/>
                <w:sz w:val="16"/>
              </w:rPr>
              <w:t>服务对象满意度</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5AA0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F00B0">
            <w:pPr>
              <w:jc w:val="center"/>
            </w:pPr>
            <w:r>
              <w:rPr>
                <w:rFonts w:ascii="宋体" w:hAnsi="宋体" w:eastAsia="宋体"/>
                <w:sz w:val="16"/>
              </w:rPr>
              <w:t>本领域服务企业满意度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DDBB8">
            <w:pPr>
              <w:jc w:val="center"/>
            </w:pPr>
            <w:bookmarkStart w:id="1" w:name="OLE_LINK2"/>
            <w:r>
              <w:rPr>
                <w:rFonts w:hint="default" w:ascii="Arial" w:hAnsi="Arial" w:eastAsia="宋体" w:cs="Arial"/>
                <w:sz w:val="16"/>
              </w:rPr>
              <w:t>≥</w:t>
            </w:r>
            <w:bookmarkEnd w:id="1"/>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E8C24">
            <w:pPr>
              <w:jc w:val="center"/>
            </w:pPr>
            <w:r>
              <w:rPr>
                <w:rFonts w:ascii="宋体" w:hAnsi="宋体" w:eastAsia="宋体"/>
                <w:sz w:val="16"/>
              </w:rPr>
              <w:t>2024年商务工作要点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05E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678B1">
            <w:pPr>
              <w:jc w:val="center"/>
            </w:pPr>
            <w:r>
              <w:rPr>
                <w:rFonts w:ascii="宋体" w:hAnsi="宋体" w:eastAsia="宋体"/>
                <w:sz w:val="16"/>
              </w:rPr>
              <w: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3007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B4079">
            <w:pPr>
              <w:jc w:val="center"/>
            </w:pPr>
            <w:r>
              <w:rPr>
                <w:rFonts w:ascii="宋体" w:hAnsi="宋体" w:eastAsia="宋体"/>
                <w:sz w:val="16"/>
              </w:rPr>
              <w:t>10</w:t>
            </w:r>
          </w:p>
        </w:tc>
      </w:tr>
    </w:tbl>
    <w:p w14:paraId="3F8F7D6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EB548C4">
        <w:tblPrEx>
          <w:tblCellMar>
            <w:top w:w="0" w:type="dxa"/>
            <w:left w:w="108" w:type="dxa"/>
            <w:bottom w:w="0" w:type="dxa"/>
            <w:right w:w="108" w:type="dxa"/>
          </w:tblCellMar>
        </w:tblPrEx>
        <w:tc>
          <w:tcPr>
            <w:tcW w:w="8847" w:type="dxa"/>
            <w:gridSpan w:val="9"/>
            <w:vAlign w:val="center"/>
          </w:tcPr>
          <w:p w14:paraId="0BEE761A">
            <w:pPr>
              <w:jc w:val="center"/>
            </w:pPr>
            <w:r>
              <w:rPr>
                <w:rFonts w:ascii="宋体" w:hAnsi="宋体" w:eastAsia="宋体"/>
                <w:sz w:val="24"/>
              </w:rPr>
              <w:t>项目支出绩效自评表</w:t>
            </w:r>
          </w:p>
        </w:tc>
      </w:tr>
      <w:tr w14:paraId="0FC1C746">
        <w:tblPrEx>
          <w:tblCellMar>
            <w:top w:w="0" w:type="dxa"/>
            <w:left w:w="108" w:type="dxa"/>
            <w:bottom w:w="0" w:type="dxa"/>
            <w:right w:w="108" w:type="dxa"/>
          </w:tblCellMar>
        </w:tblPrEx>
        <w:tc>
          <w:tcPr>
            <w:tcW w:w="8847" w:type="dxa"/>
            <w:gridSpan w:val="9"/>
            <w:vAlign w:val="center"/>
          </w:tcPr>
          <w:p w14:paraId="31779B6B">
            <w:pPr>
              <w:jc w:val="center"/>
            </w:pPr>
            <w:r>
              <w:rPr>
                <w:rFonts w:ascii="宋体" w:hAnsi="宋体" w:eastAsia="宋体"/>
                <w:sz w:val="24"/>
              </w:rPr>
              <w:t>(2024年度)</w:t>
            </w:r>
          </w:p>
        </w:tc>
      </w:tr>
      <w:tr w14:paraId="425B74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0F4C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73EB0C">
            <w:pPr>
              <w:jc w:val="center"/>
            </w:pPr>
            <w:r>
              <w:rPr>
                <w:rFonts w:ascii="宋体" w:hAnsi="宋体" w:eastAsia="宋体"/>
                <w:sz w:val="16"/>
              </w:rPr>
              <w:t>2024年上半年自治区驻村工作专项项目</w:t>
            </w:r>
          </w:p>
        </w:tc>
      </w:tr>
      <w:tr w14:paraId="50CDDC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7825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9A932F">
            <w:pPr>
              <w:jc w:val="center"/>
            </w:pPr>
            <w:r>
              <w:rPr>
                <w:rFonts w:ascii="宋体" w:hAnsi="宋体" w:eastAsia="宋体"/>
                <w:sz w:val="16"/>
              </w:rPr>
              <w:t>和田地区商务局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51F8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6F138E">
            <w:pPr>
              <w:jc w:val="center"/>
            </w:pPr>
            <w:r>
              <w:rPr>
                <w:rFonts w:ascii="宋体" w:hAnsi="宋体" w:eastAsia="宋体"/>
                <w:sz w:val="16"/>
              </w:rPr>
              <w:t>和田地区商务局</w:t>
            </w:r>
          </w:p>
        </w:tc>
      </w:tr>
      <w:tr w14:paraId="6CDC5F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8C1B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30F8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F3BD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ADBF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B2E8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9D31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7109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AE8F8">
            <w:pPr>
              <w:jc w:val="center"/>
            </w:pPr>
            <w:r>
              <w:rPr>
                <w:rFonts w:ascii="宋体" w:hAnsi="宋体" w:eastAsia="宋体"/>
                <w:sz w:val="16"/>
              </w:rPr>
              <w:t>得分</w:t>
            </w:r>
          </w:p>
        </w:tc>
      </w:tr>
      <w:tr w14:paraId="4D6888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01BB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01A8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D0F77">
            <w:pPr>
              <w:jc w:val="center"/>
            </w:pPr>
            <w:r>
              <w:rPr>
                <w:rFonts w:ascii="宋体" w:hAnsi="宋体" w:eastAsia="宋体"/>
                <w:sz w:val="16"/>
              </w:rPr>
              <w:t>22.57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759B3">
            <w:pPr>
              <w:jc w:val="center"/>
            </w:pPr>
            <w:r>
              <w:rPr>
                <w:rFonts w:ascii="宋体" w:hAnsi="宋体" w:eastAsia="宋体"/>
                <w:sz w:val="16"/>
              </w:rPr>
              <w:t>22.57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34B19">
            <w:pPr>
              <w:jc w:val="center"/>
            </w:pPr>
            <w:r>
              <w:rPr>
                <w:rFonts w:ascii="宋体" w:hAnsi="宋体" w:eastAsia="宋体"/>
                <w:sz w:val="16"/>
              </w:rPr>
              <w:t>22.57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351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675D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8C774">
            <w:pPr>
              <w:jc w:val="center"/>
            </w:pPr>
            <w:r>
              <w:rPr>
                <w:rFonts w:ascii="宋体" w:hAnsi="宋体" w:eastAsia="宋体"/>
                <w:sz w:val="16"/>
              </w:rPr>
              <w:t>10.00分</w:t>
            </w:r>
          </w:p>
        </w:tc>
      </w:tr>
      <w:tr w14:paraId="3DBDA0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C3E9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62E4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13C06">
            <w:pPr>
              <w:jc w:val="center"/>
            </w:pPr>
            <w:r>
              <w:rPr>
                <w:rFonts w:ascii="宋体" w:hAnsi="宋体" w:eastAsia="宋体"/>
                <w:sz w:val="16"/>
              </w:rPr>
              <w:t>22.57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182C9">
            <w:pPr>
              <w:jc w:val="center"/>
            </w:pPr>
            <w:r>
              <w:rPr>
                <w:rFonts w:ascii="宋体" w:hAnsi="宋体" w:eastAsia="宋体"/>
                <w:sz w:val="16"/>
              </w:rPr>
              <w:t>22.57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4696E">
            <w:pPr>
              <w:jc w:val="center"/>
            </w:pPr>
            <w:r>
              <w:rPr>
                <w:rFonts w:ascii="宋体" w:hAnsi="宋体" w:eastAsia="宋体"/>
                <w:sz w:val="16"/>
              </w:rPr>
              <w:t>22.57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009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49B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8FB7C">
            <w:pPr>
              <w:jc w:val="center"/>
            </w:pPr>
            <w:r>
              <w:rPr>
                <w:rFonts w:ascii="宋体" w:hAnsi="宋体" w:eastAsia="宋体"/>
                <w:sz w:val="16"/>
              </w:rPr>
              <w:t>—</w:t>
            </w:r>
          </w:p>
        </w:tc>
      </w:tr>
      <w:tr w14:paraId="06766A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4A1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922C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22B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842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324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6F7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FB6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7D437">
            <w:pPr>
              <w:jc w:val="center"/>
            </w:pPr>
            <w:r>
              <w:rPr>
                <w:rFonts w:ascii="宋体" w:hAnsi="宋体" w:eastAsia="宋体"/>
                <w:sz w:val="16"/>
              </w:rPr>
              <w:t>—</w:t>
            </w:r>
          </w:p>
        </w:tc>
      </w:tr>
      <w:tr w14:paraId="679A53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1C3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F365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47E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606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983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738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868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DB1F2">
            <w:pPr>
              <w:jc w:val="center"/>
            </w:pPr>
            <w:r>
              <w:rPr>
                <w:rFonts w:ascii="宋体" w:hAnsi="宋体" w:eastAsia="宋体"/>
                <w:sz w:val="16"/>
              </w:rPr>
              <w:t>—</w:t>
            </w:r>
          </w:p>
        </w:tc>
      </w:tr>
      <w:tr w14:paraId="0A5453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822E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08FC7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248187">
            <w:pPr>
              <w:jc w:val="center"/>
            </w:pPr>
            <w:r>
              <w:rPr>
                <w:rFonts w:ascii="宋体" w:hAnsi="宋体" w:eastAsia="宋体"/>
                <w:sz w:val="16"/>
              </w:rPr>
              <w:t>实际完成情况</w:t>
            </w:r>
          </w:p>
        </w:tc>
      </w:tr>
      <w:tr w14:paraId="7BA105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662CE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40AE13">
            <w:pPr>
              <w:jc w:val="both"/>
            </w:pPr>
            <w:r>
              <w:rPr>
                <w:rFonts w:ascii="宋体" w:hAnsi="宋体" w:eastAsia="宋体"/>
                <w:sz w:val="16"/>
              </w:rPr>
              <w:t>本项目主要实施内容为：</w:t>
            </w:r>
            <w:r>
              <w:rPr>
                <w:rFonts w:hint="eastAsia" w:ascii="宋体" w:hAnsi="宋体"/>
                <w:sz w:val="16"/>
                <w:lang w:eastAsia="zh-CN"/>
              </w:rPr>
              <w:t>为民办实事</w:t>
            </w:r>
            <w:r>
              <w:rPr>
                <w:rFonts w:ascii="宋体" w:hAnsi="宋体" w:eastAsia="宋体"/>
                <w:sz w:val="16"/>
              </w:rPr>
              <w:t>工作队2个，项目总投资为22.57万元，项目计划于2024年12月完成。通过本项目的实施，可有效保障为民办事服务效率，待项目实施完成，争取使受益人群满意度不低于95%。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F34AA8">
            <w:pPr>
              <w:jc w:val="both"/>
            </w:pPr>
            <w:r>
              <w:rPr>
                <w:rFonts w:hint="eastAsia" w:ascii="宋体" w:hAnsi="宋体"/>
                <w:sz w:val="16"/>
                <w:lang w:eastAsia="zh-CN"/>
              </w:rPr>
              <w:t>截至</w:t>
            </w:r>
            <w:r>
              <w:rPr>
                <w:rFonts w:ascii="宋体" w:hAnsi="宋体" w:eastAsia="宋体"/>
                <w:sz w:val="16"/>
              </w:rPr>
              <w:t>2024年12月31日，本项目实际形成支出22.57万元，已完成</w:t>
            </w:r>
            <w:r>
              <w:rPr>
                <w:rFonts w:hint="eastAsia" w:ascii="宋体" w:hAnsi="宋体"/>
                <w:sz w:val="16"/>
                <w:lang w:eastAsia="zh-CN"/>
              </w:rPr>
              <w:t>村级</w:t>
            </w:r>
            <w:r>
              <w:rPr>
                <w:rFonts w:ascii="宋体" w:hAnsi="宋体" w:eastAsia="宋体"/>
                <w:sz w:val="16"/>
              </w:rPr>
              <w:t>环境改善、为民办实事好事的任务，达到了有效保障为民办实事服务效率的效益，</w:t>
            </w:r>
            <w:r>
              <w:rPr>
                <w:rFonts w:hint="eastAsia" w:ascii="宋体" w:hAnsi="宋体"/>
                <w:sz w:val="16"/>
                <w:lang w:eastAsia="zh-CN"/>
              </w:rPr>
              <w:t>工作</w:t>
            </w:r>
            <w:r>
              <w:rPr>
                <w:rFonts w:ascii="宋体" w:hAnsi="宋体" w:eastAsia="宋体"/>
                <w:sz w:val="16"/>
              </w:rPr>
              <w:t>队</w:t>
            </w:r>
            <w:r>
              <w:rPr>
                <w:rFonts w:hint="eastAsia" w:ascii="宋体" w:hAnsi="宋体"/>
                <w:sz w:val="16"/>
                <w:lang w:eastAsia="zh-CN"/>
              </w:rPr>
              <w:t>为民办实事</w:t>
            </w:r>
            <w:r>
              <w:rPr>
                <w:rFonts w:ascii="宋体" w:hAnsi="宋体" w:eastAsia="宋体"/>
                <w:sz w:val="16"/>
              </w:rPr>
              <w:t>工作队满意度达到100%。</w:t>
            </w:r>
          </w:p>
        </w:tc>
      </w:tr>
      <w:tr w14:paraId="37BA3C8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0D09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B353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F172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946E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3EF1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42BF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A8CE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AAF7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001E1">
            <w:pPr>
              <w:jc w:val="center"/>
            </w:pPr>
            <w:r>
              <w:rPr>
                <w:rFonts w:ascii="宋体" w:hAnsi="宋体" w:eastAsia="宋体"/>
                <w:sz w:val="16"/>
              </w:rPr>
              <w:t>偏差原因分析及改进措施</w:t>
            </w:r>
          </w:p>
        </w:tc>
      </w:tr>
      <w:tr w14:paraId="77B0BE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B363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6282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20CE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B8FAE">
            <w:pPr>
              <w:jc w:val="center"/>
            </w:pPr>
            <w:r>
              <w:rPr>
                <w:rFonts w:hint="eastAsia" w:ascii="宋体" w:hAnsi="宋体"/>
                <w:sz w:val="16"/>
                <w:lang w:eastAsia="zh-CN"/>
              </w:rPr>
              <w:t>为民办实事</w:t>
            </w:r>
            <w:r>
              <w:rPr>
                <w:rFonts w:ascii="宋体" w:hAnsi="宋体" w:eastAsia="宋体"/>
                <w:sz w:val="16"/>
              </w:rPr>
              <w:t>工作队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3306D">
            <w:pPr>
              <w:jc w:val="center"/>
            </w:pPr>
            <w:bookmarkStart w:id="2" w:name="OLE_LINK5"/>
            <w:r>
              <w:rPr>
                <w:rFonts w:hint="default" w:ascii="Arial" w:hAnsi="Arial" w:eastAsia="宋体" w:cs="Arial"/>
                <w:sz w:val="16"/>
              </w:rPr>
              <w:t>≥</w:t>
            </w:r>
            <w:bookmarkEnd w:id="2"/>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7E375">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4176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1D08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BB766">
            <w:pPr>
              <w:jc w:val="center"/>
            </w:pPr>
          </w:p>
        </w:tc>
      </w:tr>
      <w:tr w14:paraId="6A4C11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D430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19E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25AD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07576">
            <w:pPr>
              <w:jc w:val="center"/>
            </w:pPr>
            <w:r>
              <w:rPr>
                <w:rFonts w:ascii="宋体" w:hAnsi="宋体" w:eastAsia="宋体"/>
                <w:sz w:val="16"/>
              </w:rPr>
              <w:t>调研走访工作完成覆盖率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F4A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4BE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4F4E8">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9D080">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B4D9C">
            <w:pPr>
              <w:jc w:val="center"/>
            </w:pPr>
          </w:p>
        </w:tc>
      </w:tr>
      <w:tr w14:paraId="4B5825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D1F9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B2EA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3BD6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428B8">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C3F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872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734D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40D0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B0C08">
            <w:pPr>
              <w:jc w:val="center"/>
            </w:pPr>
          </w:p>
        </w:tc>
      </w:tr>
      <w:tr w14:paraId="4FBBFB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E01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9A0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2C6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F954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BC693">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97BE7">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05C8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C935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982DA">
            <w:pPr>
              <w:jc w:val="center"/>
            </w:pPr>
          </w:p>
        </w:tc>
      </w:tr>
      <w:tr w14:paraId="071A7D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8136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BFBA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FA58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C9BAB">
            <w:pPr>
              <w:jc w:val="center"/>
            </w:pPr>
            <w:r>
              <w:rPr>
                <w:rFonts w:ascii="宋体" w:hAnsi="宋体" w:eastAsia="宋体"/>
                <w:sz w:val="16"/>
              </w:rPr>
              <w:t>群众修缮房屋、用于村道、引水渠维修、小磨坊、小作坊修缮经费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3EA24">
            <w:pPr>
              <w:jc w:val="center"/>
            </w:pPr>
            <w:bookmarkStart w:id="3" w:name="OLE_LINK3"/>
            <w:r>
              <w:rPr>
                <w:rFonts w:hint="default" w:ascii="Arial" w:hAnsi="Arial" w:eastAsia="宋体" w:cs="Arial"/>
                <w:sz w:val="16"/>
              </w:rPr>
              <w:t>≤</w:t>
            </w:r>
            <w:bookmarkEnd w:id="3"/>
            <w:r>
              <w:rPr>
                <w:rFonts w:ascii="宋体" w:hAnsi="宋体" w:eastAsia="宋体"/>
                <w:sz w:val="16"/>
              </w:rPr>
              <w:t>12.57万元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3C581">
            <w:pPr>
              <w:jc w:val="center"/>
            </w:pPr>
            <w:r>
              <w:rPr>
                <w:rFonts w:ascii="宋体" w:hAnsi="宋体" w:eastAsia="宋体"/>
                <w:sz w:val="16"/>
              </w:rPr>
              <w:t>=12.57万元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05AB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5CF4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B5152">
            <w:pPr>
              <w:jc w:val="center"/>
            </w:pPr>
          </w:p>
        </w:tc>
      </w:tr>
      <w:tr w14:paraId="29D5CF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CCA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513B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129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451D1">
            <w:pPr>
              <w:jc w:val="center"/>
              <w:rPr>
                <w:rFonts w:hint="eastAsia" w:eastAsia="宋体"/>
                <w:lang w:eastAsia="zh-CN"/>
              </w:rPr>
            </w:pPr>
            <w:r>
              <w:rPr>
                <w:rFonts w:ascii="宋体" w:hAnsi="宋体" w:eastAsia="宋体"/>
                <w:sz w:val="16"/>
              </w:rPr>
              <w:t>用于</w:t>
            </w:r>
            <w:r>
              <w:rPr>
                <w:rFonts w:hint="eastAsia" w:ascii="宋体" w:hAnsi="宋体"/>
                <w:sz w:val="16"/>
                <w:lang w:eastAsia="zh-CN"/>
              </w:rPr>
              <w:t>走访群众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9EF14">
            <w:pPr>
              <w:jc w:val="center"/>
            </w:pPr>
            <w:bookmarkStart w:id="4" w:name="OLE_LINK4"/>
            <w:r>
              <w:rPr>
                <w:rFonts w:hint="default" w:ascii="Arial" w:hAnsi="Arial" w:eastAsia="宋体" w:cs="Arial"/>
                <w:sz w:val="16"/>
              </w:rPr>
              <w:t>≤</w:t>
            </w:r>
            <w:bookmarkEnd w:id="4"/>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634CA">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6868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888C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0A5F6">
            <w:pPr>
              <w:jc w:val="center"/>
            </w:pPr>
          </w:p>
        </w:tc>
      </w:tr>
      <w:tr w14:paraId="115512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0521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2A78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ECD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9C09E">
            <w:pPr>
              <w:jc w:val="center"/>
            </w:pPr>
            <w:r>
              <w:rPr>
                <w:rFonts w:ascii="宋体" w:hAnsi="宋体" w:eastAsia="宋体"/>
                <w:sz w:val="16"/>
              </w:rPr>
              <w:t>补充村级组织工作经费、组织各类活动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C66B7">
            <w:pPr>
              <w:jc w:val="center"/>
            </w:pPr>
            <w:r>
              <w:rPr>
                <w:rFonts w:hint="default" w:ascii="Arial" w:hAnsi="Arial" w:eastAsia="宋体" w:cs="Arial"/>
                <w:sz w:val="16"/>
              </w:rPr>
              <w:t>≤</w:t>
            </w: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BAFED">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E4DD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3E28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A2D81">
            <w:pPr>
              <w:jc w:val="center"/>
            </w:pPr>
          </w:p>
        </w:tc>
      </w:tr>
      <w:tr w14:paraId="219982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D8AC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BC63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8DCC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CB942">
            <w:pPr>
              <w:jc w:val="center"/>
            </w:pPr>
            <w:r>
              <w:rPr>
                <w:rFonts w:ascii="宋体" w:hAnsi="宋体" w:eastAsia="宋体"/>
                <w:sz w:val="16"/>
              </w:rPr>
              <w:t>保障为民办事服务效率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A702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B398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F0E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50C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CD7A4">
            <w:pPr>
              <w:jc w:val="center"/>
            </w:pPr>
          </w:p>
        </w:tc>
      </w:tr>
      <w:tr w14:paraId="77FABF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2D8F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6FEE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98B0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6A84C">
            <w:pPr>
              <w:jc w:val="center"/>
            </w:pPr>
            <w:r>
              <w:rPr>
                <w:rFonts w:ascii="宋体" w:hAnsi="宋体" w:eastAsia="宋体"/>
                <w:sz w:val="16"/>
              </w:rPr>
              <w:t>群众</w:t>
            </w:r>
            <w:r>
              <w:rPr>
                <w:rFonts w:hint="eastAsia" w:ascii="宋体" w:hAnsi="宋体"/>
                <w:sz w:val="16"/>
                <w:lang w:eastAsia="zh-CN"/>
              </w:rPr>
              <w:t>对为民办实事</w:t>
            </w:r>
            <w:r>
              <w:rPr>
                <w:rFonts w:ascii="宋体" w:hAnsi="宋体" w:eastAsia="宋体"/>
                <w:sz w:val="16"/>
              </w:rPr>
              <w:t>工作队满意度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58642">
            <w:pPr>
              <w:jc w:val="center"/>
            </w:pPr>
            <w:r>
              <w:rPr>
                <w:rFonts w:hint="default" w:ascii="Arial" w:hAnsi="Arial" w:eastAsia="宋体" w:cs="Arial"/>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C39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258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9A0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CA6D2">
            <w:pPr>
              <w:jc w:val="center"/>
            </w:pPr>
          </w:p>
        </w:tc>
      </w:tr>
      <w:tr w14:paraId="090EB1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3CFC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5103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D0CB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40FE65">
            <w:pPr>
              <w:jc w:val="center"/>
            </w:pPr>
            <w:r>
              <w:rPr>
                <w:rFonts w:ascii="宋体" w:hAnsi="宋体" w:eastAsia="宋体"/>
                <w:sz w:val="16"/>
              </w:rPr>
              <w:t>100分</w:t>
            </w:r>
          </w:p>
        </w:tc>
      </w:tr>
    </w:tbl>
    <w:p w14:paraId="2FAF897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3CA02B">
        <w:tblPrEx>
          <w:tblCellMar>
            <w:top w:w="0" w:type="dxa"/>
            <w:left w:w="108" w:type="dxa"/>
            <w:bottom w:w="0" w:type="dxa"/>
            <w:right w:w="108" w:type="dxa"/>
          </w:tblCellMar>
        </w:tblPrEx>
        <w:tc>
          <w:tcPr>
            <w:tcW w:w="8847" w:type="dxa"/>
            <w:gridSpan w:val="9"/>
            <w:vAlign w:val="center"/>
          </w:tcPr>
          <w:p w14:paraId="2AAF2BED">
            <w:pPr>
              <w:jc w:val="center"/>
            </w:pPr>
            <w:r>
              <w:rPr>
                <w:rFonts w:ascii="宋体" w:hAnsi="宋体" w:eastAsia="宋体"/>
                <w:sz w:val="24"/>
              </w:rPr>
              <w:t>项目支出绩效自评表</w:t>
            </w:r>
          </w:p>
        </w:tc>
      </w:tr>
      <w:tr w14:paraId="63AEEFC6">
        <w:tblPrEx>
          <w:tblCellMar>
            <w:top w:w="0" w:type="dxa"/>
            <w:left w:w="108" w:type="dxa"/>
            <w:bottom w:w="0" w:type="dxa"/>
            <w:right w:w="108" w:type="dxa"/>
          </w:tblCellMar>
        </w:tblPrEx>
        <w:tc>
          <w:tcPr>
            <w:tcW w:w="8847" w:type="dxa"/>
            <w:gridSpan w:val="9"/>
            <w:vAlign w:val="center"/>
          </w:tcPr>
          <w:p w14:paraId="102D71BF">
            <w:pPr>
              <w:jc w:val="center"/>
            </w:pPr>
            <w:r>
              <w:rPr>
                <w:rFonts w:ascii="宋体" w:hAnsi="宋体" w:eastAsia="宋体"/>
                <w:sz w:val="24"/>
              </w:rPr>
              <w:t>(2024年度)</w:t>
            </w:r>
          </w:p>
        </w:tc>
      </w:tr>
      <w:tr w14:paraId="08BFB8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7CAE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97BB1F">
            <w:pPr>
              <w:jc w:val="center"/>
            </w:pPr>
            <w:r>
              <w:rPr>
                <w:rFonts w:ascii="宋体" w:hAnsi="宋体" w:eastAsia="宋体"/>
                <w:sz w:val="16"/>
              </w:rPr>
              <w:t>2024年援疆干部人才南疆工作补贴项目</w:t>
            </w:r>
          </w:p>
        </w:tc>
      </w:tr>
      <w:tr w14:paraId="35D47E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83C7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430A97">
            <w:pPr>
              <w:jc w:val="center"/>
            </w:pPr>
            <w:r>
              <w:rPr>
                <w:rFonts w:ascii="宋体" w:hAnsi="宋体" w:eastAsia="宋体"/>
                <w:sz w:val="16"/>
              </w:rPr>
              <w:t>和田地区商务局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D7BF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AB7995">
            <w:pPr>
              <w:jc w:val="center"/>
            </w:pPr>
            <w:r>
              <w:rPr>
                <w:rFonts w:ascii="宋体" w:hAnsi="宋体" w:eastAsia="宋体"/>
                <w:sz w:val="16"/>
              </w:rPr>
              <w:t>和田地区商务局</w:t>
            </w:r>
          </w:p>
        </w:tc>
      </w:tr>
      <w:tr w14:paraId="623314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E4C5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80C9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E02D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DF24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E195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DEE9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C5EF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5D643">
            <w:pPr>
              <w:jc w:val="center"/>
            </w:pPr>
            <w:r>
              <w:rPr>
                <w:rFonts w:ascii="宋体" w:hAnsi="宋体" w:eastAsia="宋体"/>
                <w:sz w:val="16"/>
              </w:rPr>
              <w:t>得分</w:t>
            </w:r>
          </w:p>
        </w:tc>
      </w:tr>
      <w:tr w14:paraId="2BAC33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5806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E6F8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85A22">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DC5A9">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CE666">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CE8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7BF7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AFBEC">
            <w:pPr>
              <w:jc w:val="center"/>
            </w:pPr>
            <w:r>
              <w:rPr>
                <w:rFonts w:ascii="宋体" w:hAnsi="宋体" w:eastAsia="宋体"/>
                <w:sz w:val="16"/>
              </w:rPr>
              <w:t>10.00分</w:t>
            </w:r>
          </w:p>
        </w:tc>
      </w:tr>
      <w:tr w14:paraId="0BC5F6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D7D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E7C5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C45E1">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A45CC">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E33AC">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CE9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22B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A712F">
            <w:pPr>
              <w:jc w:val="center"/>
            </w:pPr>
            <w:r>
              <w:rPr>
                <w:rFonts w:ascii="宋体" w:hAnsi="宋体" w:eastAsia="宋体"/>
                <w:sz w:val="16"/>
              </w:rPr>
              <w:t>—</w:t>
            </w:r>
          </w:p>
        </w:tc>
      </w:tr>
      <w:tr w14:paraId="248D67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786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C81E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429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784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707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897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65A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2176C">
            <w:pPr>
              <w:jc w:val="center"/>
            </w:pPr>
            <w:r>
              <w:rPr>
                <w:rFonts w:ascii="宋体" w:hAnsi="宋体" w:eastAsia="宋体"/>
                <w:sz w:val="16"/>
              </w:rPr>
              <w:t>—</w:t>
            </w:r>
          </w:p>
        </w:tc>
      </w:tr>
      <w:tr w14:paraId="42672E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D76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9928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918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BF6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158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7BF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A7A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9112B">
            <w:pPr>
              <w:jc w:val="center"/>
            </w:pPr>
            <w:r>
              <w:rPr>
                <w:rFonts w:ascii="宋体" w:hAnsi="宋体" w:eastAsia="宋体"/>
                <w:sz w:val="16"/>
              </w:rPr>
              <w:t>—</w:t>
            </w:r>
          </w:p>
        </w:tc>
      </w:tr>
      <w:tr w14:paraId="5A78B8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F706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ABF12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39BE24">
            <w:pPr>
              <w:jc w:val="center"/>
            </w:pPr>
            <w:r>
              <w:rPr>
                <w:rFonts w:ascii="宋体" w:hAnsi="宋体" w:eastAsia="宋体"/>
                <w:sz w:val="16"/>
              </w:rPr>
              <w:t>实际完成情况</w:t>
            </w:r>
          </w:p>
        </w:tc>
      </w:tr>
      <w:tr w14:paraId="101CC1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175D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BEA5AA">
            <w:pPr>
              <w:jc w:val="both"/>
            </w:pPr>
            <w:r>
              <w:rPr>
                <w:rFonts w:ascii="宋体" w:hAnsi="宋体" w:eastAsia="宋体"/>
                <w:sz w:val="16"/>
              </w:rPr>
              <w:t>本项目主要实施内容为：援疆干部1名，项目总投资为1.2万元，项目计划于2024年12月完成。通过本项目的实施，可有效提高援疆干部工作积极性，待项目实施完成，争取使受益人群满意度不低于95%。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D22C38">
            <w:pPr>
              <w:jc w:val="both"/>
            </w:pPr>
            <w:r>
              <w:rPr>
                <w:rFonts w:hint="eastAsia" w:ascii="宋体" w:hAnsi="宋体"/>
                <w:sz w:val="16"/>
                <w:lang w:eastAsia="zh-CN"/>
              </w:rPr>
              <w:t>截至2024</w:t>
            </w:r>
            <w:r>
              <w:rPr>
                <w:rFonts w:ascii="宋体" w:hAnsi="宋体" w:eastAsia="宋体"/>
                <w:sz w:val="16"/>
              </w:rPr>
              <w:t>年12月31日，本项目实际形成支出1.2万元，已完成选派一名援疆干部任和田地区商务局副局长的任务，达到了壮大和田地区商务局的干部队伍，干部整体素质得到有效提升的效益，援疆干部满意度达到96%。</w:t>
            </w:r>
          </w:p>
        </w:tc>
      </w:tr>
      <w:tr w14:paraId="2F7FF9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B28D0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F707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437A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7B89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E8A3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0C98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8473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76C0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80659">
            <w:pPr>
              <w:jc w:val="center"/>
            </w:pPr>
            <w:r>
              <w:rPr>
                <w:rFonts w:ascii="宋体" w:hAnsi="宋体" w:eastAsia="宋体"/>
                <w:sz w:val="16"/>
              </w:rPr>
              <w:t>偏差原因分析及改进措施</w:t>
            </w:r>
          </w:p>
        </w:tc>
      </w:tr>
      <w:tr w14:paraId="330EE9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067E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1CF1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6BF9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37C50">
            <w:pPr>
              <w:jc w:val="center"/>
            </w:pPr>
            <w:r>
              <w:rPr>
                <w:rFonts w:ascii="宋体" w:hAnsi="宋体" w:eastAsia="宋体"/>
                <w:sz w:val="16"/>
              </w:rPr>
              <w:t>保障援疆干部人员数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AF3D8">
            <w:pPr>
              <w:jc w:val="center"/>
            </w:pPr>
            <w:bookmarkStart w:id="5" w:name="OLE_LINK6"/>
            <w:r>
              <w:rPr>
                <w:rFonts w:hint="default" w:ascii="Arial" w:hAnsi="Arial" w:cs="Arial"/>
                <w:sz w:val="16"/>
                <w:szCs w:val="16"/>
              </w:rPr>
              <w:t>≥</w:t>
            </w:r>
            <w:bookmarkEnd w:id="5"/>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D6F19">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126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33B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A095A">
            <w:pPr>
              <w:jc w:val="center"/>
            </w:pPr>
          </w:p>
        </w:tc>
      </w:tr>
      <w:tr w14:paraId="37CBA3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D0B9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E32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35E3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1045C">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BE3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41B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C38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182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C2F4C">
            <w:pPr>
              <w:jc w:val="center"/>
            </w:pPr>
          </w:p>
        </w:tc>
      </w:tr>
      <w:tr w14:paraId="3F2C1D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4B9B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20F9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60F5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1F8B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7A5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836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732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F18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F37A2">
            <w:pPr>
              <w:jc w:val="center"/>
            </w:pPr>
          </w:p>
        </w:tc>
      </w:tr>
      <w:tr w14:paraId="7A095E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95C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CFAC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8DFA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6305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8EE50">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58DE6">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5EA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828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74E0D">
            <w:pPr>
              <w:jc w:val="center"/>
            </w:pPr>
          </w:p>
        </w:tc>
      </w:tr>
      <w:tr w14:paraId="5BA11D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A6C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C1D1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B52B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89CA1">
            <w:pPr>
              <w:jc w:val="center"/>
            </w:pPr>
            <w:r>
              <w:rPr>
                <w:rFonts w:ascii="宋体" w:hAnsi="宋体" w:eastAsia="宋体"/>
                <w:sz w:val="16"/>
              </w:rPr>
              <w:t>发放补助经费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3521F">
            <w:pPr>
              <w:jc w:val="center"/>
            </w:pPr>
            <w:r>
              <w:rPr>
                <w:rFonts w:hint="default" w:ascii="Arial" w:hAnsi="Arial" w:cs="Arial"/>
                <w:color w:val="000000"/>
                <w:kern w:val="0"/>
                <w:sz w:val="16"/>
                <w:szCs w:val="16"/>
              </w:rPr>
              <w:t>≤</w:t>
            </w: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77509">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F2A0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6ED7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73B3A">
            <w:pPr>
              <w:jc w:val="center"/>
            </w:pPr>
          </w:p>
        </w:tc>
      </w:tr>
      <w:tr w14:paraId="4CD6E0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F93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845A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BF24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A94B5">
            <w:pPr>
              <w:jc w:val="center"/>
            </w:pPr>
            <w:r>
              <w:rPr>
                <w:rFonts w:ascii="宋体" w:hAnsi="宋体" w:eastAsia="宋体"/>
                <w:sz w:val="16"/>
              </w:rPr>
              <w:t>提高援疆干部工作积极性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F7C9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66E09">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495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346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5816A">
            <w:pPr>
              <w:jc w:val="center"/>
            </w:pPr>
          </w:p>
        </w:tc>
      </w:tr>
      <w:tr w14:paraId="36C185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A6C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C21A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4BE5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6F4B1">
            <w:pPr>
              <w:jc w:val="center"/>
            </w:pPr>
            <w:r>
              <w:rPr>
                <w:rFonts w:ascii="宋体" w:hAnsi="宋体" w:eastAsia="宋体"/>
                <w:sz w:val="16"/>
              </w:rPr>
              <w:t>援疆干部满意度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B034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4C441">
            <w:pPr>
              <w:jc w:val="center"/>
            </w:pPr>
            <w:r>
              <w:rPr>
                <w:rFonts w:ascii="宋体" w:hAnsi="宋体" w:eastAsia="宋体"/>
                <w:sz w:val="16"/>
              </w:rPr>
              <w: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633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E80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696F9">
            <w:pPr>
              <w:jc w:val="center"/>
            </w:pPr>
          </w:p>
        </w:tc>
      </w:tr>
      <w:tr w14:paraId="53B03C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44C4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B9C1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3251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9BDA16">
            <w:pPr>
              <w:jc w:val="center"/>
            </w:pPr>
            <w:r>
              <w:rPr>
                <w:rFonts w:ascii="宋体" w:hAnsi="宋体" w:eastAsia="宋体"/>
                <w:sz w:val="16"/>
              </w:rPr>
              <w:t>100分</w:t>
            </w:r>
          </w:p>
        </w:tc>
      </w:tr>
    </w:tbl>
    <w:p w14:paraId="21B7FAF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16DD8B1">
        <w:tblPrEx>
          <w:tblCellMar>
            <w:top w:w="0" w:type="dxa"/>
            <w:left w:w="108" w:type="dxa"/>
            <w:bottom w:w="0" w:type="dxa"/>
            <w:right w:w="108" w:type="dxa"/>
          </w:tblCellMar>
        </w:tblPrEx>
        <w:tc>
          <w:tcPr>
            <w:tcW w:w="8847" w:type="dxa"/>
            <w:gridSpan w:val="9"/>
            <w:vAlign w:val="center"/>
          </w:tcPr>
          <w:p w14:paraId="12A8B271">
            <w:pPr>
              <w:jc w:val="center"/>
            </w:pPr>
            <w:r>
              <w:rPr>
                <w:rFonts w:ascii="宋体" w:hAnsi="宋体" w:eastAsia="宋体"/>
                <w:sz w:val="24"/>
              </w:rPr>
              <w:t>项目支出绩效自评表</w:t>
            </w:r>
          </w:p>
        </w:tc>
      </w:tr>
      <w:tr w14:paraId="217E9138">
        <w:tblPrEx>
          <w:tblCellMar>
            <w:top w:w="0" w:type="dxa"/>
            <w:left w:w="108" w:type="dxa"/>
            <w:bottom w:w="0" w:type="dxa"/>
            <w:right w:w="108" w:type="dxa"/>
          </w:tblCellMar>
        </w:tblPrEx>
        <w:tc>
          <w:tcPr>
            <w:tcW w:w="8847" w:type="dxa"/>
            <w:gridSpan w:val="9"/>
            <w:vAlign w:val="center"/>
          </w:tcPr>
          <w:p w14:paraId="185EBF72">
            <w:pPr>
              <w:jc w:val="center"/>
            </w:pPr>
            <w:r>
              <w:rPr>
                <w:rFonts w:ascii="宋体" w:hAnsi="宋体" w:eastAsia="宋体"/>
                <w:sz w:val="24"/>
              </w:rPr>
              <w:t>(2024年度)</w:t>
            </w:r>
          </w:p>
        </w:tc>
      </w:tr>
      <w:tr w14:paraId="7E7E1A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B94A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CB8800">
            <w:pPr>
              <w:jc w:val="center"/>
            </w:pPr>
            <w:r>
              <w:rPr>
                <w:rFonts w:ascii="宋体" w:hAnsi="宋体" w:eastAsia="宋体"/>
                <w:sz w:val="16"/>
              </w:rPr>
              <w:t>关于解决和田海关建设项目剩余资金的请示（存量）</w:t>
            </w:r>
          </w:p>
        </w:tc>
      </w:tr>
      <w:tr w14:paraId="3458001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5415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119838">
            <w:pPr>
              <w:jc w:val="center"/>
            </w:pPr>
            <w:r>
              <w:rPr>
                <w:rFonts w:ascii="宋体" w:hAnsi="宋体" w:eastAsia="宋体"/>
                <w:sz w:val="16"/>
              </w:rPr>
              <w:t>和田地区商务局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C360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812ACA">
            <w:pPr>
              <w:jc w:val="center"/>
            </w:pPr>
            <w:r>
              <w:rPr>
                <w:rFonts w:ascii="宋体" w:hAnsi="宋体" w:eastAsia="宋体"/>
                <w:sz w:val="16"/>
              </w:rPr>
              <w:t>和田地区商务局</w:t>
            </w:r>
          </w:p>
        </w:tc>
      </w:tr>
      <w:tr w14:paraId="5D3EEB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8DF0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7641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E99E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8C23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55DB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D2D8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7DED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A38B0">
            <w:pPr>
              <w:jc w:val="center"/>
            </w:pPr>
            <w:r>
              <w:rPr>
                <w:rFonts w:ascii="宋体" w:hAnsi="宋体" w:eastAsia="宋体"/>
                <w:sz w:val="16"/>
              </w:rPr>
              <w:t>得分</w:t>
            </w:r>
          </w:p>
        </w:tc>
      </w:tr>
      <w:tr w14:paraId="03DF9E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8617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A9E7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25FCB">
            <w:pPr>
              <w:jc w:val="center"/>
            </w:pPr>
            <w:r>
              <w:rPr>
                <w:rFonts w:ascii="宋体" w:hAnsi="宋体" w:eastAsia="宋体"/>
                <w:sz w:val="16"/>
              </w:rPr>
              <w:t>431.10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D9288">
            <w:pPr>
              <w:jc w:val="center"/>
            </w:pPr>
            <w:r>
              <w:rPr>
                <w:rFonts w:ascii="宋体" w:hAnsi="宋体" w:eastAsia="宋体"/>
                <w:sz w:val="16"/>
              </w:rPr>
              <w:t>431.10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47E49">
            <w:pPr>
              <w:jc w:val="center"/>
            </w:pPr>
            <w:r>
              <w:rPr>
                <w:rFonts w:ascii="宋体" w:hAnsi="宋体" w:eastAsia="宋体"/>
                <w:sz w:val="16"/>
              </w:rPr>
              <w:t>431.10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6D4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99EE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59141">
            <w:pPr>
              <w:jc w:val="center"/>
            </w:pPr>
            <w:r>
              <w:rPr>
                <w:rFonts w:ascii="宋体" w:hAnsi="宋体" w:eastAsia="宋体"/>
                <w:sz w:val="16"/>
              </w:rPr>
              <w:t>10.00分</w:t>
            </w:r>
          </w:p>
        </w:tc>
      </w:tr>
      <w:tr w14:paraId="5EAF82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5B1F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2A13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71EA6">
            <w:pPr>
              <w:jc w:val="center"/>
            </w:pPr>
            <w:r>
              <w:rPr>
                <w:rFonts w:ascii="宋体" w:hAnsi="宋体" w:eastAsia="宋体"/>
                <w:sz w:val="16"/>
              </w:rPr>
              <w:t>431.10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A79F8">
            <w:pPr>
              <w:jc w:val="center"/>
            </w:pPr>
            <w:r>
              <w:rPr>
                <w:rFonts w:ascii="宋体" w:hAnsi="宋体" w:eastAsia="宋体"/>
                <w:sz w:val="16"/>
              </w:rPr>
              <w:t>431.10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FDB97">
            <w:pPr>
              <w:jc w:val="center"/>
            </w:pPr>
            <w:r>
              <w:rPr>
                <w:rFonts w:ascii="宋体" w:hAnsi="宋体" w:eastAsia="宋体"/>
                <w:sz w:val="16"/>
              </w:rPr>
              <w:t>431.10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6FF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FA9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EB924">
            <w:pPr>
              <w:jc w:val="center"/>
            </w:pPr>
            <w:r>
              <w:rPr>
                <w:rFonts w:ascii="宋体" w:hAnsi="宋体" w:eastAsia="宋体"/>
                <w:sz w:val="16"/>
              </w:rPr>
              <w:t>—</w:t>
            </w:r>
          </w:p>
        </w:tc>
      </w:tr>
      <w:tr w14:paraId="1DE809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1FCD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90ED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7E3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6EE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EDE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7EB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042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79CFE">
            <w:pPr>
              <w:jc w:val="center"/>
            </w:pPr>
            <w:r>
              <w:rPr>
                <w:rFonts w:ascii="宋体" w:hAnsi="宋体" w:eastAsia="宋体"/>
                <w:sz w:val="16"/>
              </w:rPr>
              <w:t>—</w:t>
            </w:r>
          </w:p>
        </w:tc>
      </w:tr>
      <w:tr w14:paraId="419396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0084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F6E1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B3F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A42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510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1B8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E64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5EAE7">
            <w:pPr>
              <w:jc w:val="center"/>
            </w:pPr>
            <w:r>
              <w:rPr>
                <w:rFonts w:ascii="宋体" w:hAnsi="宋体" w:eastAsia="宋体"/>
                <w:sz w:val="16"/>
              </w:rPr>
              <w:t>—</w:t>
            </w:r>
          </w:p>
        </w:tc>
      </w:tr>
      <w:tr w14:paraId="3CA916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FEF4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3FE3B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D2A917">
            <w:pPr>
              <w:jc w:val="center"/>
            </w:pPr>
            <w:r>
              <w:rPr>
                <w:rFonts w:ascii="宋体" w:hAnsi="宋体" w:eastAsia="宋体"/>
                <w:sz w:val="16"/>
              </w:rPr>
              <w:t>实际完成情况</w:t>
            </w:r>
          </w:p>
        </w:tc>
      </w:tr>
      <w:tr w14:paraId="46CFC2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BFFD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47B11A">
            <w:pPr>
              <w:jc w:val="both"/>
            </w:pPr>
            <w:r>
              <w:rPr>
                <w:rFonts w:ascii="宋体" w:hAnsi="宋体" w:eastAsia="宋体"/>
                <w:sz w:val="16"/>
              </w:rPr>
              <w:t>本项目主要实施内容为：海关综合办公区6537.27平方米，附属用房3900平方米。项目总投资为5727.99万元，本年使用431.10万元，项目计划于2024年12月完成。通过本项目的实施，可有效提高工作效率，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699846">
            <w:pPr>
              <w:jc w:val="both"/>
            </w:pPr>
            <w:r>
              <w:rPr>
                <w:rFonts w:hint="eastAsia" w:ascii="宋体" w:hAnsi="宋体"/>
                <w:sz w:val="16"/>
                <w:lang w:eastAsia="zh-CN"/>
              </w:rPr>
              <w:t>截至</w:t>
            </w:r>
            <w:r>
              <w:rPr>
                <w:rFonts w:ascii="宋体" w:hAnsi="宋体" w:eastAsia="宋体"/>
                <w:sz w:val="16"/>
              </w:rPr>
              <w:t>2024年12月31日，本项目实际形成支出431.10万元，已完成建设海关综合办公区6537.27平方米，建设附属用房3900平方米的任务，达到了高效利用海关的效益，受益本地外贸企业满意度达到100%。</w:t>
            </w:r>
          </w:p>
        </w:tc>
      </w:tr>
      <w:tr w14:paraId="18FC1A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36ADC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55CC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2CFC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A416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C325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0326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C9D7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9D00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6A967">
            <w:pPr>
              <w:jc w:val="center"/>
            </w:pPr>
            <w:r>
              <w:rPr>
                <w:rFonts w:ascii="宋体" w:hAnsi="宋体" w:eastAsia="宋体"/>
                <w:sz w:val="16"/>
              </w:rPr>
              <w:t>偏差原因分析及改进措施</w:t>
            </w:r>
          </w:p>
        </w:tc>
      </w:tr>
      <w:tr w14:paraId="6ABF2E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9995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CAC4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9DE5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9E4B3">
            <w:pPr>
              <w:jc w:val="center"/>
            </w:pPr>
            <w:r>
              <w:rPr>
                <w:rFonts w:ascii="宋体" w:hAnsi="宋体" w:eastAsia="宋体"/>
                <w:sz w:val="16"/>
              </w:rPr>
              <w:t>建设海关综合办公区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EADBE">
            <w:pPr>
              <w:jc w:val="center"/>
            </w:pPr>
            <w:r>
              <w:rPr>
                <w:rFonts w:hint="default" w:ascii="Arial" w:hAnsi="Arial" w:cs="Arial"/>
                <w:sz w:val="16"/>
                <w:szCs w:val="16"/>
              </w:rPr>
              <w:t>≥</w:t>
            </w:r>
            <w:r>
              <w:rPr>
                <w:rFonts w:ascii="宋体" w:hAnsi="宋体" w:eastAsia="宋体"/>
                <w:sz w:val="16"/>
              </w:rPr>
              <w:t>6537.27平方米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DE567">
            <w:pPr>
              <w:jc w:val="center"/>
            </w:pPr>
            <w:r>
              <w:rPr>
                <w:rFonts w:ascii="宋体" w:hAnsi="宋体" w:eastAsia="宋体"/>
                <w:sz w:val="16"/>
              </w:rPr>
              <w:t>=6537.27平方米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D3F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540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48440">
            <w:pPr>
              <w:jc w:val="center"/>
            </w:pPr>
          </w:p>
        </w:tc>
      </w:tr>
      <w:tr w14:paraId="08DD9D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FB0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858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CF9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59D0B">
            <w:pPr>
              <w:jc w:val="center"/>
            </w:pPr>
            <w:r>
              <w:rPr>
                <w:rFonts w:ascii="宋体" w:hAnsi="宋体" w:eastAsia="宋体"/>
                <w:sz w:val="16"/>
              </w:rPr>
              <w:t>建设附属用房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7A5C7">
            <w:pPr>
              <w:jc w:val="center"/>
            </w:pPr>
            <w:r>
              <w:rPr>
                <w:rFonts w:hint="default" w:ascii="Arial" w:hAnsi="Arial" w:cs="Arial"/>
                <w:sz w:val="16"/>
                <w:szCs w:val="16"/>
              </w:rPr>
              <w:t>≥</w:t>
            </w:r>
            <w:r>
              <w:rPr>
                <w:rFonts w:ascii="宋体" w:hAnsi="宋体" w:eastAsia="宋体"/>
                <w:sz w:val="16"/>
              </w:rPr>
              <w:t>3900平方米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E744E">
            <w:pPr>
              <w:jc w:val="center"/>
            </w:pPr>
            <w:r>
              <w:rPr>
                <w:rFonts w:ascii="宋体" w:hAnsi="宋体" w:eastAsia="宋体"/>
                <w:sz w:val="16"/>
              </w:rPr>
              <w:t>=3900平方米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59B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89A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EB711">
            <w:pPr>
              <w:jc w:val="center"/>
            </w:pPr>
          </w:p>
        </w:tc>
      </w:tr>
      <w:tr w14:paraId="603DEF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0B2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BF70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5FEE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0B36D">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F9A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89F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FA69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11C6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1166C">
            <w:pPr>
              <w:jc w:val="center"/>
            </w:pPr>
          </w:p>
        </w:tc>
      </w:tr>
      <w:tr w14:paraId="4EE5E5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70FF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B203C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CE1A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CE48C">
            <w:pPr>
              <w:jc w:val="center"/>
            </w:pPr>
            <w:r>
              <w:rPr>
                <w:rFonts w:ascii="宋体" w:hAnsi="宋体" w:eastAsia="宋体"/>
                <w:sz w:val="16"/>
              </w:rPr>
              <w:t>项目完工及时率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16B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81C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5625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B039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05F45">
            <w:pPr>
              <w:jc w:val="center"/>
            </w:pPr>
          </w:p>
        </w:tc>
      </w:tr>
      <w:tr w14:paraId="5A20FA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323D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829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2FDE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5CD74">
            <w:pPr>
              <w:jc w:val="center"/>
            </w:pPr>
            <w:r>
              <w:rPr>
                <w:rFonts w:ascii="宋体" w:hAnsi="宋体" w:eastAsia="宋体"/>
                <w:sz w:val="16"/>
              </w:rPr>
              <w:t>项目开工及时率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F57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EAE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89CC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E87A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65FD7">
            <w:pPr>
              <w:jc w:val="center"/>
            </w:pPr>
          </w:p>
        </w:tc>
      </w:tr>
      <w:tr w14:paraId="1840CB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E77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6AC9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0EBD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E17EE">
            <w:pPr>
              <w:jc w:val="center"/>
            </w:pPr>
            <w:r>
              <w:rPr>
                <w:rFonts w:ascii="宋体" w:hAnsi="宋体" w:eastAsia="宋体"/>
                <w:sz w:val="16"/>
              </w:rPr>
              <w:t>海关办公楼项目建设剩余资金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4CEE5">
            <w:pPr>
              <w:jc w:val="center"/>
            </w:pPr>
            <w:r>
              <w:rPr>
                <w:rFonts w:hint="default" w:ascii="Arial" w:hAnsi="Arial" w:cs="Arial"/>
                <w:color w:val="000000"/>
                <w:kern w:val="0"/>
                <w:sz w:val="16"/>
                <w:szCs w:val="16"/>
              </w:rPr>
              <w:t>≤</w:t>
            </w:r>
            <w:r>
              <w:rPr>
                <w:rFonts w:ascii="宋体" w:hAnsi="宋体" w:eastAsia="宋体"/>
                <w:sz w:val="16"/>
              </w:rPr>
              <w:t>431.1万元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5D6B6">
            <w:pPr>
              <w:jc w:val="center"/>
            </w:pPr>
            <w:r>
              <w:rPr>
                <w:rFonts w:ascii="宋体" w:hAnsi="宋体" w:eastAsia="宋体"/>
                <w:sz w:val="16"/>
              </w:rPr>
              <w:t>=431.1万元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FE9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5FB0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ACE69">
            <w:pPr>
              <w:jc w:val="center"/>
            </w:pPr>
          </w:p>
        </w:tc>
      </w:tr>
      <w:tr w14:paraId="6D4BF8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67F8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0F87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BFD3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6292A">
            <w:pPr>
              <w:jc w:val="center"/>
            </w:pPr>
            <w:r>
              <w:rPr>
                <w:rFonts w:ascii="宋体" w:hAnsi="宋体" w:eastAsia="宋体"/>
                <w:sz w:val="16"/>
              </w:rPr>
              <w:t>海关综合利用率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4921E">
            <w:pPr>
              <w:jc w:val="center"/>
            </w:pPr>
            <w:r>
              <w:rPr>
                <w:rFonts w:hint="default" w:ascii="Arial" w:hAnsi="Arial" w:cs="Arial"/>
                <w:sz w:val="16"/>
                <w:szCs w:val="16"/>
              </w:rPr>
              <w:t>≥</w:t>
            </w: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620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594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C844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D072F">
            <w:pPr>
              <w:jc w:val="center"/>
            </w:pPr>
          </w:p>
        </w:tc>
      </w:tr>
      <w:tr w14:paraId="3403A9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69E7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77E3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3214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1C69D">
            <w:pPr>
              <w:jc w:val="center"/>
            </w:pPr>
            <w:r>
              <w:rPr>
                <w:rFonts w:ascii="宋体" w:hAnsi="宋体" w:eastAsia="宋体"/>
                <w:sz w:val="16"/>
              </w:rPr>
              <w:t>受益本地外贸企业满意度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BCE9F">
            <w:pPr>
              <w:jc w:val="center"/>
            </w:pPr>
            <w:r>
              <w:rPr>
                <w:rFonts w:hint="default" w:ascii="Arial" w:hAnsi="Arial" w:cs="Arial"/>
                <w:sz w:val="16"/>
                <w:szCs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AE7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751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A38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7B6B5">
            <w:pPr>
              <w:jc w:val="center"/>
            </w:pPr>
          </w:p>
        </w:tc>
      </w:tr>
      <w:tr w14:paraId="26B29E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3A59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F3D5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39BF1">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2CDA73">
            <w:pPr>
              <w:jc w:val="center"/>
            </w:pPr>
            <w:r>
              <w:rPr>
                <w:rFonts w:ascii="宋体" w:hAnsi="宋体" w:eastAsia="宋体"/>
                <w:sz w:val="16"/>
              </w:rPr>
              <w:t>100分</w:t>
            </w:r>
          </w:p>
        </w:tc>
      </w:tr>
    </w:tbl>
    <w:p w14:paraId="20CD590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CF92CF2">
        <w:tblPrEx>
          <w:tblCellMar>
            <w:top w:w="0" w:type="dxa"/>
            <w:left w:w="108" w:type="dxa"/>
            <w:bottom w:w="0" w:type="dxa"/>
            <w:right w:w="108" w:type="dxa"/>
          </w:tblCellMar>
        </w:tblPrEx>
        <w:tc>
          <w:tcPr>
            <w:tcW w:w="8847" w:type="dxa"/>
            <w:gridSpan w:val="9"/>
            <w:vAlign w:val="center"/>
          </w:tcPr>
          <w:p w14:paraId="4632809F">
            <w:pPr>
              <w:jc w:val="center"/>
            </w:pPr>
            <w:r>
              <w:rPr>
                <w:rFonts w:ascii="宋体" w:hAnsi="宋体" w:eastAsia="宋体"/>
                <w:sz w:val="24"/>
              </w:rPr>
              <w:t>项目支出绩效自评表</w:t>
            </w:r>
          </w:p>
        </w:tc>
      </w:tr>
      <w:tr w14:paraId="3DA2CC88">
        <w:tblPrEx>
          <w:tblCellMar>
            <w:top w:w="0" w:type="dxa"/>
            <w:left w:w="108" w:type="dxa"/>
            <w:bottom w:w="0" w:type="dxa"/>
            <w:right w:w="108" w:type="dxa"/>
          </w:tblCellMar>
        </w:tblPrEx>
        <w:tc>
          <w:tcPr>
            <w:tcW w:w="8847" w:type="dxa"/>
            <w:gridSpan w:val="9"/>
            <w:vAlign w:val="center"/>
          </w:tcPr>
          <w:p w14:paraId="4F8E059D">
            <w:pPr>
              <w:jc w:val="center"/>
            </w:pPr>
            <w:r>
              <w:rPr>
                <w:rFonts w:ascii="宋体" w:hAnsi="宋体" w:eastAsia="宋体"/>
                <w:sz w:val="24"/>
              </w:rPr>
              <w:t>(2024年度)</w:t>
            </w:r>
          </w:p>
        </w:tc>
      </w:tr>
      <w:tr w14:paraId="3E1AA4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1638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2E6FB39">
            <w:pPr>
              <w:jc w:val="center"/>
            </w:pPr>
            <w:r>
              <w:rPr>
                <w:rFonts w:ascii="宋体" w:hAnsi="宋体" w:eastAsia="宋体"/>
                <w:sz w:val="16"/>
              </w:rPr>
              <w:t>和田地区招商引资及会展项目经费</w:t>
            </w:r>
          </w:p>
        </w:tc>
      </w:tr>
      <w:tr w14:paraId="6872BA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9F9F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30FF23">
            <w:pPr>
              <w:jc w:val="center"/>
            </w:pPr>
            <w:r>
              <w:rPr>
                <w:rFonts w:ascii="宋体" w:hAnsi="宋体" w:eastAsia="宋体"/>
                <w:sz w:val="16"/>
              </w:rPr>
              <w:t>和田地区商务局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874F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B61B4A">
            <w:pPr>
              <w:jc w:val="center"/>
            </w:pPr>
            <w:r>
              <w:rPr>
                <w:rFonts w:ascii="宋体" w:hAnsi="宋体" w:eastAsia="宋体"/>
                <w:sz w:val="16"/>
              </w:rPr>
              <w:t>和田地区商务局</w:t>
            </w:r>
          </w:p>
        </w:tc>
      </w:tr>
      <w:tr w14:paraId="42855F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EC43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B477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1BA8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D5EA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C997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F126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95B0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7084D">
            <w:pPr>
              <w:jc w:val="center"/>
            </w:pPr>
            <w:r>
              <w:rPr>
                <w:rFonts w:ascii="宋体" w:hAnsi="宋体" w:eastAsia="宋体"/>
                <w:sz w:val="16"/>
              </w:rPr>
              <w:t>得分</w:t>
            </w:r>
          </w:p>
        </w:tc>
      </w:tr>
      <w:tr w14:paraId="29D56C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AFA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E60F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312D6">
            <w:pPr>
              <w:jc w:val="center"/>
            </w:pPr>
            <w:r>
              <w:rPr>
                <w:rFonts w:ascii="宋体" w:hAnsi="宋体" w:eastAsia="宋体"/>
                <w:sz w:val="16"/>
              </w:rPr>
              <w:t>174.96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CE876">
            <w:pPr>
              <w:jc w:val="center"/>
            </w:pPr>
            <w:r>
              <w:rPr>
                <w:rFonts w:ascii="宋体" w:hAnsi="宋体" w:eastAsia="宋体"/>
                <w:sz w:val="16"/>
              </w:rPr>
              <w:t>174.96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3E905">
            <w:pPr>
              <w:jc w:val="center"/>
            </w:pPr>
            <w:r>
              <w:rPr>
                <w:rFonts w:ascii="宋体" w:hAnsi="宋体" w:eastAsia="宋体"/>
                <w:sz w:val="16"/>
              </w:rPr>
              <w:t>174.96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289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87CA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35B9D">
            <w:pPr>
              <w:jc w:val="center"/>
            </w:pPr>
            <w:r>
              <w:rPr>
                <w:rFonts w:ascii="宋体" w:hAnsi="宋体" w:eastAsia="宋体"/>
                <w:sz w:val="16"/>
              </w:rPr>
              <w:t>10.00分</w:t>
            </w:r>
          </w:p>
        </w:tc>
      </w:tr>
      <w:tr w14:paraId="3DFED7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709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C6E0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23DB3">
            <w:pPr>
              <w:jc w:val="center"/>
            </w:pPr>
            <w:r>
              <w:rPr>
                <w:rFonts w:ascii="宋体" w:hAnsi="宋体" w:eastAsia="宋体"/>
                <w:sz w:val="16"/>
              </w:rPr>
              <w:t>174.96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B04E4">
            <w:pPr>
              <w:jc w:val="center"/>
            </w:pPr>
            <w:r>
              <w:rPr>
                <w:rFonts w:ascii="宋体" w:hAnsi="宋体" w:eastAsia="宋体"/>
                <w:sz w:val="16"/>
              </w:rPr>
              <w:t>174.96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F2686">
            <w:pPr>
              <w:jc w:val="center"/>
            </w:pPr>
            <w:r>
              <w:rPr>
                <w:rFonts w:ascii="宋体" w:hAnsi="宋体" w:eastAsia="宋体"/>
                <w:sz w:val="16"/>
              </w:rPr>
              <w:t>174.96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A6B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8D0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8D309">
            <w:pPr>
              <w:jc w:val="center"/>
            </w:pPr>
            <w:r>
              <w:rPr>
                <w:rFonts w:ascii="宋体" w:hAnsi="宋体" w:eastAsia="宋体"/>
                <w:sz w:val="16"/>
              </w:rPr>
              <w:t>—</w:t>
            </w:r>
          </w:p>
        </w:tc>
      </w:tr>
      <w:tr w14:paraId="42890B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DEE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76DA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A54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FC6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8DE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DFC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AD1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289D4">
            <w:pPr>
              <w:jc w:val="center"/>
            </w:pPr>
            <w:r>
              <w:rPr>
                <w:rFonts w:ascii="宋体" w:hAnsi="宋体" w:eastAsia="宋体"/>
                <w:sz w:val="16"/>
              </w:rPr>
              <w:t>—</w:t>
            </w:r>
          </w:p>
        </w:tc>
      </w:tr>
      <w:tr w14:paraId="683757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599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3E29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9E8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500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85B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51E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ED2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E6C74">
            <w:pPr>
              <w:jc w:val="center"/>
            </w:pPr>
            <w:r>
              <w:rPr>
                <w:rFonts w:ascii="宋体" w:hAnsi="宋体" w:eastAsia="宋体"/>
                <w:sz w:val="16"/>
              </w:rPr>
              <w:t>—</w:t>
            </w:r>
          </w:p>
        </w:tc>
      </w:tr>
      <w:tr w14:paraId="11E4FE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C887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C5209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9F3B54">
            <w:pPr>
              <w:jc w:val="center"/>
            </w:pPr>
            <w:r>
              <w:rPr>
                <w:rFonts w:ascii="宋体" w:hAnsi="宋体" w:eastAsia="宋体"/>
                <w:sz w:val="16"/>
              </w:rPr>
              <w:t>实际完成情况</w:t>
            </w:r>
          </w:p>
        </w:tc>
      </w:tr>
      <w:tr w14:paraId="2AA7E3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29BD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6CFED5">
            <w:pPr>
              <w:jc w:val="both"/>
            </w:pPr>
            <w:r>
              <w:rPr>
                <w:rFonts w:ascii="宋体" w:hAnsi="宋体" w:eastAsia="宋体"/>
                <w:sz w:val="16"/>
              </w:rPr>
              <w:t>项目总预算174.96万元，组织参加招</w:t>
            </w:r>
            <w:r>
              <w:rPr>
                <w:rFonts w:hint="eastAsia" w:ascii="宋体" w:hAnsi="宋体"/>
                <w:sz w:val="16"/>
                <w:lang w:eastAsia="zh-CN"/>
              </w:rPr>
              <w:t>商引资</w:t>
            </w:r>
            <w:r>
              <w:rPr>
                <w:rFonts w:ascii="宋体" w:hAnsi="宋体" w:eastAsia="宋体"/>
                <w:sz w:val="16"/>
              </w:rPr>
              <w:t>活动90天，完成2024年招</w:t>
            </w:r>
            <w:r>
              <w:rPr>
                <w:rFonts w:hint="eastAsia" w:ascii="宋体" w:hAnsi="宋体"/>
                <w:sz w:val="16"/>
                <w:lang w:eastAsia="zh-CN"/>
              </w:rPr>
              <w:t>商引资</w:t>
            </w:r>
            <w:r>
              <w:rPr>
                <w:rFonts w:ascii="宋体" w:hAnsi="宋体" w:eastAsia="宋体"/>
                <w:sz w:val="16"/>
              </w:rPr>
              <w:t>工作各项指，通过项目的实施，带动就业，推动社会发展，使受益企业满意度达到95%以上。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294E76">
            <w:pPr>
              <w:jc w:val="both"/>
            </w:pPr>
            <w:r>
              <w:rPr>
                <w:rFonts w:hint="eastAsia" w:ascii="宋体" w:hAnsi="宋体"/>
                <w:sz w:val="16"/>
                <w:lang w:eastAsia="zh-CN"/>
              </w:rPr>
              <w:t>截至</w:t>
            </w:r>
            <w:r>
              <w:rPr>
                <w:rFonts w:ascii="宋体" w:hAnsi="宋体" w:eastAsia="宋体"/>
                <w:sz w:val="16"/>
              </w:rPr>
              <w:t>2024年12月31日，本项目实际形成支出174.96万元，已完成组织参加招</w:t>
            </w:r>
            <w:r>
              <w:rPr>
                <w:rFonts w:hint="eastAsia" w:ascii="宋体" w:hAnsi="宋体"/>
                <w:sz w:val="16"/>
                <w:lang w:eastAsia="zh-CN"/>
              </w:rPr>
              <w:t>商引资</w:t>
            </w:r>
            <w:r>
              <w:rPr>
                <w:rFonts w:ascii="宋体" w:hAnsi="宋体" w:eastAsia="宋体"/>
                <w:sz w:val="16"/>
              </w:rPr>
              <w:t>活动90天的任务，完成招</w:t>
            </w:r>
            <w:r>
              <w:rPr>
                <w:rFonts w:hint="eastAsia" w:ascii="宋体" w:hAnsi="宋体"/>
                <w:sz w:val="16"/>
                <w:lang w:eastAsia="zh-CN"/>
              </w:rPr>
              <w:t>商引资</w:t>
            </w:r>
            <w:r>
              <w:rPr>
                <w:rFonts w:ascii="宋体" w:hAnsi="宋体" w:eastAsia="宋体"/>
                <w:sz w:val="16"/>
              </w:rPr>
              <w:t>目标任务，有效带动就业，推动社会发展的效益，投资企业满意度达到100%。</w:t>
            </w:r>
          </w:p>
        </w:tc>
      </w:tr>
      <w:tr w14:paraId="1CA289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B3F2C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FACA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5182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699D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B36E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3A2F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AA84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1AF9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327A1">
            <w:pPr>
              <w:jc w:val="center"/>
            </w:pPr>
            <w:r>
              <w:rPr>
                <w:rFonts w:ascii="宋体" w:hAnsi="宋体" w:eastAsia="宋体"/>
                <w:sz w:val="16"/>
              </w:rPr>
              <w:t>偏差原因分析及改进措施</w:t>
            </w:r>
          </w:p>
        </w:tc>
      </w:tr>
      <w:tr w14:paraId="71247A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4E58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A0C7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F754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7F19E">
            <w:pPr>
              <w:jc w:val="center"/>
            </w:pPr>
            <w:r>
              <w:rPr>
                <w:rFonts w:ascii="宋体" w:hAnsi="宋体" w:eastAsia="宋体"/>
                <w:sz w:val="16"/>
              </w:rPr>
              <w:t>组织参加招商引资活动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08DBD">
            <w:pPr>
              <w:jc w:val="center"/>
            </w:pPr>
            <w:r>
              <w:rPr>
                <w:rFonts w:hint="default" w:ascii="Arial" w:hAnsi="Arial" w:cs="Arial"/>
                <w:sz w:val="16"/>
                <w:szCs w:val="16"/>
              </w:rPr>
              <w:t>≥</w:t>
            </w:r>
            <w:r>
              <w:rPr>
                <w:rFonts w:ascii="宋体" w:hAnsi="宋体" w:eastAsia="宋体"/>
                <w:sz w:val="16"/>
              </w:rPr>
              <w:t>90天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0A2B2">
            <w:pPr>
              <w:jc w:val="center"/>
            </w:pPr>
            <w:r>
              <w:rPr>
                <w:rFonts w:ascii="宋体" w:hAnsi="宋体" w:eastAsia="宋体"/>
                <w:sz w:val="16"/>
              </w:rPr>
              <w:t>=90天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1FD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336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80E46">
            <w:pPr>
              <w:jc w:val="center"/>
            </w:pPr>
          </w:p>
        </w:tc>
      </w:tr>
      <w:tr w14:paraId="06D2DB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42A8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24A3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946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1D308">
            <w:pPr>
              <w:jc w:val="center"/>
            </w:pPr>
            <w:r>
              <w:rPr>
                <w:rFonts w:ascii="宋体" w:hAnsi="宋体" w:eastAsia="宋体"/>
                <w:sz w:val="16"/>
              </w:rPr>
              <w:t>完成招商引资目标任务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2E99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1BC9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607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235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2838E">
            <w:pPr>
              <w:jc w:val="center"/>
            </w:pPr>
          </w:p>
        </w:tc>
      </w:tr>
      <w:tr w14:paraId="2D6B88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C83B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57B8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1C76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D0050">
            <w:pPr>
              <w:jc w:val="center"/>
            </w:pPr>
            <w:r>
              <w:rPr>
                <w:rFonts w:ascii="宋体" w:hAnsi="宋体" w:eastAsia="宋体"/>
                <w:sz w:val="16"/>
              </w:rPr>
              <w:t>招商引资完成率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966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5D0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F31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A38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A1453">
            <w:pPr>
              <w:jc w:val="center"/>
            </w:pPr>
          </w:p>
        </w:tc>
      </w:tr>
      <w:tr w14:paraId="61F6A6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F69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6D4F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898E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34C3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A8D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B46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765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75C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18036">
            <w:pPr>
              <w:jc w:val="center"/>
            </w:pPr>
          </w:p>
        </w:tc>
      </w:tr>
      <w:tr w14:paraId="5BE900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2390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8DF0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82E7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9311F">
            <w:pPr>
              <w:jc w:val="center"/>
            </w:pPr>
            <w:r>
              <w:rPr>
                <w:rFonts w:ascii="宋体" w:hAnsi="宋体" w:eastAsia="宋体"/>
                <w:sz w:val="16"/>
              </w:rPr>
              <w:t>招商引资专项支出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71EDE">
            <w:pPr>
              <w:jc w:val="center"/>
            </w:pPr>
            <w:r>
              <w:rPr>
                <w:rFonts w:hint="default" w:ascii="Arial" w:hAnsi="Arial" w:cs="Arial"/>
                <w:color w:val="000000"/>
                <w:kern w:val="0"/>
                <w:sz w:val="16"/>
                <w:szCs w:val="16"/>
              </w:rPr>
              <w:t>≤</w:t>
            </w:r>
            <w:r>
              <w:rPr>
                <w:rFonts w:ascii="宋体" w:hAnsi="宋体" w:eastAsia="宋体"/>
                <w:sz w:val="16"/>
              </w:rPr>
              <w:t>174.96万元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EA36B">
            <w:pPr>
              <w:jc w:val="center"/>
            </w:pPr>
            <w:r>
              <w:rPr>
                <w:rFonts w:ascii="宋体" w:hAnsi="宋体" w:eastAsia="宋体"/>
                <w:sz w:val="16"/>
              </w:rPr>
              <w:t>=174.96万元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995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38B4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B20D0">
            <w:pPr>
              <w:jc w:val="center"/>
            </w:pPr>
          </w:p>
        </w:tc>
      </w:tr>
      <w:tr w14:paraId="3D5B53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BADC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8302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5CC9C">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CCA62">
            <w:pPr>
              <w:jc w:val="center"/>
            </w:pPr>
            <w:r>
              <w:rPr>
                <w:rFonts w:ascii="宋体" w:hAnsi="宋体" w:eastAsia="宋体"/>
                <w:sz w:val="16"/>
              </w:rPr>
              <w:t>带动就业岗位数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CB6C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F4D5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393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92E75">
            <w:pPr>
              <w:jc w:val="center"/>
            </w:pPr>
            <w:r>
              <w:rPr>
                <w:rFonts w:ascii="宋体" w:hAnsi="宋体" w:eastAsia="宋体"/>
                <w:sz w:val="16"/>
              </w:rPr>
              <w:t>8.19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F9AE9">
            <w:pPr>
              <w:jc w:val="center"/>
            </w:pPr>
            <w:r>
              <w:rPr>
                <w:rFonts w:ascii="宋体" w:hAnsi="宋体" w:eastAsia="宋体"/>
                <w:sz w:val="16"/>
              </w:rPr>
              <w:t>偏差原因：劳动密集型企业用工量不够理想化，改进措施：加强预算测算水平和能力。</w:t>
            </w:r>
          </w:p>
        </w:tc>
      </w:tr>
      <w:tr w14:paraId="0FF282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2FE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3D8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3907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76191">
            <w:pPr>
              <w:jc w:val="center"/>
            </w:pPr>
            <w:r>
              <w:rPr>
                <w:rFonts w:ascii="宋体" w:hAnsi="宋体" w:eastAsia="宋体"/>
                <w:sz w:val="16"/>
              </w:rPr>
              <w:t>推动社会发展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B5CBB">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6680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650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31D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956A0">
            <w:pPr>
              <w:jc w:val="center"/>
            </w:pPr>
            <w:r>
              <w:rPr>
                <w:rFonts w:ascii="宋体" w:hAnsi="宋体" w:eastAsia="宋体"/>
                <w:sz w:val="16"/>
              </w:rPr>
              <w:t>已完成，对和田经济发展带来显著影响</w:t>
            </w:r>
          </w:p>
        </w:tc>
      </w:tr>
      <w:tr w14:paraId="33AACC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DFD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1719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DDDD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9E113">
            <w:pPr>
              <w:jc w:val="center"/>
            </w:pPr>
            <w:r>
              <w:rPr>
                <w:rFonts w:ascii="宋体" w:hAnsi="宋体" w:eastAsia="宋体"/>
                <w:sz w:val="16"/>
              </w:rPr>
              <w:t>投资企业满意度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7E6DB">
            <w:pPr>
              <w:jc w:val="center"/>
            </w:pPr>
            <w:r>
              <w:rPr>
                <w:rFonts w:hint="default" w:ascii="Arial" w:hAnsi="Arial" w:cs="Arial"/>
                <w:sz w:val="16"/>
                <w:szCs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4EF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E87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FF8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8A392">
            <w:pPr>
              <w:jc w:val="center"/>
            </w:pPr>
          </w:p>
        </w:tc>
      </w:tr>
      <w:tr w14:paraId="0FC2D0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32AB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65B3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612C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A2B72F">
            <w:pPr>
              <w:jc w:val="center"/>
            </w:pPr>
            <w:r>
              <w:rPr>
                <w:rFonts w:ascii="宋体" w:hAnsi="宋体" w:eastAsia="宋体"/>
                <w:sz w:val="16"/>
              </w:rPr>
              <w:t>98.19分</w:t>
            </w:r>
          </w:p>
        </w:tc>
      </w:tr>
    </w:tbl>
    <w:p w14:paraId="6F37C96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4CB62AD">
        <w:tblPrEx>
          <w:tblCellMar>
            <w:top w:w="0" w:type="dxa"/>
            <w:left w:w="108" w:type="dxa"/>
            <w:bottom w:w="0" w:type="dxa"/>
            <w:right w:w="108" w:type="dxa"/>
          </w:tblCellMar>
        </w:tblPrEx>
        <w:tc>
          <w:tcPr>
            <w:tcW w:w="8847" w:type="dxa"/>
            <w:gridSpan w:val="9"/>
            <w:vAlign w:val="center"/>
          </w:tcPr>
          <w:p w14:paraId="7E232474">
            <w:pPr>
              <w:jc w:val="center"/>
            </w:pPr>
            <w:r>
              <w:rPr>
                <w:rFonts w:ascii="宋体" w:hAnsi="宋体" w:eastAsia="宋体"/>
                <w:sz w:val="24"/>
              </w:rPr>
              <w:t>项目支出绩效自评表</w:t>
            </w:r>
          </w:p>
        </w:tc>
      </w:tr>
      <w:tr w14:paraId="339B8037">
        <w:tblPrEx>
          <w:tblCellMar>
            <w:top w:w="0" w:type="dxa"/>
            <w:left w:w="108" w:type="dxa"/>
            <w:bottom w:w="0" w:type="dxa"/>
            <w:right w:w="108" w:type="dxa"/>
          </w:tblCellMar>
        </w:tblPrEx>
        <w:tc>
          <w:tcPr>
            <w:tcW w:w="8847" w:type="dxa"/>
            <w:gridSpan w:val="9"/>
            <w:vAlign w:val="center"/>
          </w:tcPr>
          <w:p w14:paraId="29BB4353">
            <w:pPr>
              <w:jc w:val="center"/>
            </w:pPr>
            <w:r>
              <w:rPr>
                <w:rFonts w:ascii="宋体" w:hAnsi="宋体" w:eastAsia="宋体"/>
                <w:sz w:val="24"/>
              </w:rPr>
              <w:t>(2024年度)</w:t>
            </w:r>
          </w:p>
        </w:tc>
      </w:tr>
      <w:tr w14:paraId="361EBC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0218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3DFE477">
            <w:pPr>
              <w:jc w:val="center"/>
            </w:pPr>
            <w:r>
              <w:rPr>
                <w:rFonts w:ascii="宋体" w:hAnsi="宋体" w:eastAsia="宋体"/>
                <w:sz w:val="16"/>
              </w:rPr>
              <w:t>汽车消费补贴第二批自治区财政资金预算（和地财建</w:t>
            </w:r>
            <w:r>
              <w:rPr>
                <w:rFonts w:hint="eastAsia" w:ascii="宋体" w:hAnsi="宋体"/>
                <w:sz w:val="16"/>
                <w:lang w:eastAsia="zh-CN"/>
              </w:rPr>
              <w:t>〔2023〕115号</w:t>
            </w:r>
            <w:r>
              <w:rPr>
                <w:rFonts w:ascii="宋体" w:hAnsi="宋体" w:eastAsia="宋体"/>
                <w:sz w:val="16"/>
              </w:rPr>
              <w:t>）</w:t>
            </w:r>
          </w:p>
        </w:tc>
      </w:tr>
      <w:tr w14:paraId="65C4F5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2577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E3337C">
            <w:pPr>
              <w:jc w:val="center"/>
            </w:pPr>
            <w:r>
              <w:rPr>
                <w:rFonts w:ascii="宋体" w:hAnsi="宋体" w:eastAsia="宋体"/>
                <w:sz w:val="16"/>
              </w:rPr>
              <w:t>和田地区商务局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5C00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1DB4E0">
            <w:pPr>
              <w:jc w:val="center"/>
            </w:pPr>
            <w:r>
              <w:rPr>
                <w:rFonts w:ascii="宋体" w:hAnsi="宋体" w:eastAsia="宋体"/>
                <w:sz w:val="16"/>
              </w:rPr>
              <w:t>和田地区商务局</w:t>
            </w:r>
          </w:p>
        </w:tc>
      </w:tr>
      <w:tr w14:paraId="5EAB14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0851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5E82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939A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B947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1C7F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5B6C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5F45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784D6">
            <w:pPr>
              <w:jc w:val="center"/>
            </w:pPr>
            <w:r>
              <w:rPr>
                <w:rFonts w:ascii="宋体" w:hAnsi="宋体" w:eastAsia="宋体"/>
                <w:sz w:val="16"/>
              </w:rPr>
              <w:t>得分</w:t>
            </w:r>
          </w:p>
        </w:tc>
      </w:tr>
      <w:tr w14:paraId="472B64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A76D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1BF6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7D64E">
            <w:pPr>
              <w:jc w:val="center"/>
            </w:pPr>
            <w:r>
              <w:rPr>
                <w:rFonts w:ascii="宋体" w:hAnsi="宋体" w:eastAsia="宋体"/>
                <w:sz w:val="16"/>
              </w:rPr>
              <w:t>3,199.72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A230E">
            <w:pPr>
              <w:jc w:val="center"/>
            </w:pPr>
            <w:r>
              <w:rPr>
                <w:rFonts w:ascii="宋体" w:hAnsi="宋体" w:eastAsia="宋体"/>
                <w:sz w:val="16"/>
              </w:rPr>
              <w:t>3,199.72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A2158">
            <w:pPr>
              <w:jc w:val="center"/>
            </w:pPr>
            <w:r>
              <w:rPr>
                <w:rFonts w:ascii="宋体" w:hAnsi="宋体" w:eastAsia="宋体"/>
                <w:sz w:val="16"/>
              </w:rPr>
              <w:t>3,199.72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C20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2F00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79CCE">
            <w:pPr>
              <w:jc w:val="center"/>
            </w:pPr>
            <w:r>
              <w:rPr>
                <w:rFonts w:ascii="宋体" w:hAnsi="宋体" w:eastAsia="宋体"/>
                <w:sz w:val="16"/>
              </w:rPr>
              <w:t>10.00分</w:t>
            </w:r>
          </w:p>
        </w:tc>
      </w:tr>
      <w:tr w14:paraId="779F16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BF4F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559A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6BBB4">
            <w:pPr>
              <w:jc w:val="center"/>
            </w:pPr>
            <w:r>
              <w:rPr>
                <w:rFonts w:ascii="宋体" w:hAnsi="宋体" w:eastAsia="宋体"/>
                <w:sz w:val="16"/>
              </w:rPr>
              <w:t>3,199.72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ADF84">
            <w:pPr>
              <w:jc w:val="center"/>
            </w:pPr>
            <w:r>
              <w:rPr>
                <w:rFonts w:ascii="宋体" w:hAnsi="宋体" w:eastAsia="宋体"/>
                <w:sz w:val="16"/>
              </w:rPr>
              <w:t>3,199.72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FE223">
            <w:pPr>
              <w:jc w:val="center"/>
            </w:pPr>
            <w:r>
              <w:rPr>
                <w:rFonts w:ascii="宋体" w:hAnsi="宋体" w:eastAsia="宋体"/>
                <w:sz w:val="16"/>
              </w:rPr>
              <w:t>3,199.72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6CD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36E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10F2F">
            <w:pPr>
              <w:jc w:val="center"/>
            </w:pPr>
            <w:r>
              <w:rPr>
                <w:rFonts w:ascii="宋体" w:hAnsi="宋体" w:eastAsia="宋体"/>
                <w:sz w:val="16"/>
              </w:rPr>
              <w:t>—</w:t>
            </w:r>
          </w:p>
        </w:tc>
      </w:tr>
      <w:tr w14:paraId="14A99C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A29D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9985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193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963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0DB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1E5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289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B4048">
            <w:pPr>
              <w:jc w:val="center"/>
            </w:pPr>
            <w:r>
              <w:rPr>
                <w:rFonts w:ascii="宋体" w:hAnsi="宋体" w:eastAsia="宋体"/>
                <w:sz w:val="16"/>
              </w:rPr>
              <w:t>—</w:t>
            </w:r>
          </w:p>
        </w:tc>
      </w:tr>
      <w:tr w14:paraId="1E954D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104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5597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944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7F3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B35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BF7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E72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09FFC">
            <w:pPr>
              <w:jc w:val="center"/>
            </w:pPr>
            <w:r>
              <w:rPr>
                <w:rFonts w:ascii="宋体" w:hAnsi="宋体" w:eastAsia="宋体"/>
                <w:sz w:val="16"/>
              </w:rPr>
              <w:t>—</w:t>
            </w:r>
          </w:p>
        </w:tc>
      </w:tr>
      <w:tr w14:paraId="5888FF6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6922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38ACC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A2F4C7">
            <w:pPr>
              <w:jc w:val="center"/>
            </w:pPr>
            <w:r>
              <w:rPr>
                <w:rFonts w:ascii="宋体" w:hAnsi="宋体" w:eastAsia="宋体"/>
                <w:sz w:val="16"/>
              </w:rPr>
              <w:t>实际完成情况</w:t>
            </w:r>
          </w:p>
        </w:tc>
      </w:tr>
      <w:tr w14:paraId="2AAA61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C3FE7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A729FF">
            <w:pPr>
              <w:jc w:val="both"/>
            </w:pPr>
            <w:r>
              <w:rPr>
                <w:rFonts w:ascii="宋体" w:hAnsi="宋体" w:eastAsia="宋体"/>
                <w:sz w:val="16"/>
              </w:rPr>
              <w:t>本项目主要实施内容为：汽车经销企业21家，消费券核销企业51家。项目总投资为3199.72万元，项目计划于2024年12月完成。通过本项目的实施，可有效提高工作效率，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F31ECD">
            <w:pPr>
              <w:jc w:val="both"/>
            </w:pPr>
            <w:r>
              <w:rPr>
                <w:rFonts w:hint="eastAsia" w:ascii="宋体" w:hAnsi="宋体"/>
                <w:sz w:val="16"/>
                <w:lang w:eastAsia="zh-CN"/>
              </w:rPr>
              <w:t>截至</w:t>
            </w:r>
            <w:r>
              <w:rPr>
                <w:rFonts w:ascii="宋体" w:hAnsi="宋体" w:eastAsia="宋体"/>
                <w:sz w:val="16"/>
              </w:rPr>
              <w:t>2024年12月31日，本项目实际形成支出3199.72万元，已完成汽车经销企业21家，消费券核销企业51家的任务，达到了持续提高工作效率和能力水准的效益，享受补贴消费满意度达到100%。</w:t>
            </w:r>
          </w:p>
        </w:tc>
      </w:tr>
      <w:tr w14:paraId="01A610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1A1F3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84A9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644F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2B25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F1F7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C9A9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E9EF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2E4E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83E57">
            <w:pPr>
              <w:jc w:val="center"/>
            </w:pPr>
            <w:r>
              <w:rPr>
                <w:rFonts w:ascii="宋体" w:hAnsi="宋体" w:eastAsia="宋体"/>
                <w:sz w:val="16"/>
              </w:rPr>
              <w:t>偏差原因分析及改进措施</w:t>
            </w:r>
          </w:p>
        </w:tc>
      </w:tr>
      <w:tr w14:paraId="6AD3CB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6E64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A83F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9729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6AA24">
            <w:pPr>
              <w:jc w:val="center"/>
            </w:pPr>
            <w:r>
              <w:rPr>
                <w:rFonts w:ascii="宋体" w:hAnsi="宋体" w:eastAsia="宋体"/>
                <w:sz w:val="16"/>
              </w:rPr>
              <w:t>汽车经销企业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5DF96">
            <w:pPr>
              <w:jc w:val="center"/>
            </w:pPr>
            <w:r>
              <w:rPr>
                <w:rFonts w:hint="default" w:ascii="Arial" w:hAnsi="Arial" w:cs="Arial"/>
                <w:sz w:val="16"/>
                <w:szCs w:val="16"/>
              </w:rPr>
              <w:t>≥</w:t>
            </w:r>
            <w:r>
              <w:rPr>
                <w:rFonts w:ascii="宋体" w:hAnsi="宋体" w:eastAsia="宋体"/>
                <w:sz w:val="16"/>
              </w:rPr>
              <w:t>21家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0DCCB">
            <w:pPr>
              <w:jc w:val="center"/>
            </w:pPr>
            <w:r>
              <w:rPr>
                <w:rFonts w:ascii="宋体" w:hAnsi="宋体" w:eastAsia="宋体"/>
                <w:sz w:val="16"/>
              </w:rPr>
              <w:t>=21家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6DE7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5142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C700F">
            <w:pPr>
              <w:jc w:val="center"/>
            </w:pPr>
          </w:p>
        </w:tc>
      </w:tr>
      <w:tr w14:paraId="20057B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A23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83D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A27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36F76">
            <w:pPr>
              <w:jc w:val="center"/>
            </w:pPr>
            <w:r>
              <w:rPr>
                <w:rFonts w:ascii="宋体" w:hAnsi="宋体" w:eastAsia="宋体"/>
                <w:sz w:val="16"/>
              </w:rPr>
              <w:t>消费券核销企业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5C2C2">
            <w:pPr>
              <w:jc w:val="center"/>
            </w:pPr>
            <w:r>
              <w:rPr>
                <w:rFonts w:hint="default" w:ascii="Arial" w:hAnsi="Arial" w:cs="Arial"/>
                <w:sz w:val="16"/>
                <w:szCs w:val="16"/>
              </w:rPr>
              <w:t>≥</w:t>
            </w:r>
            <w:r>
              <w:rPr>
                <w:rFonts w:ascii="宋体" w:hAnsi="宋体" w:eastAsia="宋体"/>
                <w:sz w:val="16"/>
              </w:rPr>
              <w:t>51家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B6872">
            <w:pPr>
              <w:jc w:val="center"/>
            </w:pPr>
            <w:r>
              <w:rPr>
                <w:rFonts w:ascii="宋体" w:hAnsi="宋体" w:eastAsia="宋体"/>
                <w:sz w:val="16"/>
              </w:rPr>
              <w:t>=51家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981C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F574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70274">
            <w:pPr>
              <w:jc w:val="center"/>
            </w:pPr>
          </w:p>
        </w:tc>
      </w:tr>
      <w:tr w14:paraId="7F4DE0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7DAA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87D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3C75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585AE">
            <w:pPr>
              <w:jc w:val="center"/>
            </w:pPr>
            <w:r>
              <w:rPr>
                <w:rFonts w:ascii="宋体" w:hAnsi="宋体" w:eastAsia="宋体"/>
                <w:sz w:val="16"/>
              </w:rPr>
              <w:t>保障享受汽车消费补贴覆盖率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809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E9D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E966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36BC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7EEB5">
            <w:pPr>
              <w:jc w:val="center"/>
            </w:pPr>
          </w:p>
        </w:tc>
      </w:tr>
      <w:tr w14:paraId="021A55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62C3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CBC58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1FCC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28480">
            <w:pPr>
              <w:jc w:val="center"/>
            </w:pPr>
            <w:r>
              <w:rPr>
                <w:rFonts w:ascii="宋体" w:hAnsi="宋体" w:eastAsia="宋体"/>
                <w:sz w:val="16"/>
              </w:rPr>
              <w:t>补贴资金拨付及时率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731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87B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8AFB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3BA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6BE39">
            <w:pPr>
              <w:jc w:val="center"/>
            </w:pPr>
          </w:p>
        </w:tc>
      </w:tr>
      <w:tr w14:paraId="09E33B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DA7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B26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B60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1DEE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FF793">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61616">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35BB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1DA8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F1AB9">
            <w:pPr>
              <w:jc w:val="center"/>
            </w:pPr>
          </w:p>
        </w:tc>
      </w:tr>
      <w:tr w14:paraId="3E8780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D95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2FBC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9585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3C575">
            <w:pPr>
              <w:jc w:val="center"/>
            </w:pPr>
            <w:r>
              <w:rPr>
                <w:rFonts w:ascii="宋体" w:hAnsi="宋体" w:eastAsia="宋体"/>
                <w:sz w:val="16"/>
              </w:rPr>
              <w:t>2023年汽车消费补贴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AD3C2">
            <w:pPr>
              <w:jc w:val="center"/>
            </w:pPr>
            <w:r>
              <w:rPr>
                <w:rFonts w:hint="default" w:ascii="Arial" w:hAnsi="Arial" w:cs="Arial"/>
                <w:color w:val="000000"/>
                <w:kern w:val="0"/>
                <w:sz w:val="16"/>
                <w:szCs w:val="16"/>
              </w:rPr>
              <w:t>≤</w:t>
            </w:r>
            <w:r>
              <w:rPr>
                <w:rFonts w:ascii="宋体" w:hAnsi="宋体" w:eastAsia="宋体"/>
                <w:sz w:val="16"/>
              </w:rPr>
              <w:t>3199.72万元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9A5E1">
            <w:pPr>
              <w:jc w:val="center"/>
            </w:pPr>
            <w:r>
              <w:rPr>
                <w:rFonts w:ascii="宋体" w:hAnsi="宋体" w:eastAsia="宋体"/>
                <w:sz w:val="16"/>
              </w:rPr>
              <w:t>=3199.72万元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AF8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A59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ED7EF">
            <w:pPr>
              <w:jc w:val="center"/>
            </w:pPr>
          </w:p>
        </w:tc>
      </w:tr>
      <w:tr w14:paraId="6C2F52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46E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9127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05AB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9B2B4">
            <w:pPr>
              <w:jc w:val="center"/>
            </w:pPr>
            <w:r>
              <w:rPr>
                <w:rFonts w:ascii="宋体" w:hAnsi="宋体" w:eastAsia="宋体"/>
                <w:sz w:val="16"/>
              </w:rPr>
              <w:t>提高工作效率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351C0">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9B79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CBB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DE4E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876E4">
            <w:pPr>
              <w:jc w:val="center"/>
            </w:pPr>
          </w:p>
        </w:tc>
      </w:tr>
      <w:tr w14:paraId="3A9FA3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9F6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5CEB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6D4C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62E11">
            <w:pPr>
              <w:jc w:val="center"/>
            </w:pPr>
            <w:r>
              <w:rPr>
                <w:rFonts w:ascii="宋体" w:hAnsi="宋体" w:eastAsia="宋体"/>
                <w:sz w:val="16"/>
              </w:rPr>
              <w:t>享受补贴消费满意度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1A02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7E2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DA4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3AE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FD08F">
            <w:pPr>
              <w:jc w:val="center"/>
            </w:pPr>
          </w:p>
        </w:tc>
      </w:tr>
      <w:tr w14:paraId="111087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1D2D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65A1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A372A">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4233C7">
            <w:pPr>
              <w:jc w:val="center"/>
            </w:pPr>
            <w:r>
              <w:rPr>
                <w:rFonts w:ascii="宋体" w:hAnsi="宋体" w:eastAsia="宋体"/>
                <w:sz w:val="16"/>
              </w:rPr>
              <w:t>100分</w:t>
            </w:r>
          </w:p>
        </w:tc>
      </w:tr>
    </w:tbl>
    <w:p w14:paraId="445DE2C3">
      <w:r>
        <w:br w:type="page"/>
      </w:r>
    </w:p>
    <w:p w14:paraId="21D278FF">
      <w:pPr>
        <w:spacing w:line="640" w:lineRule="exact"/>
        <w:ind w:firstLine="640"/>
        <w:jc w:val="both"/>
        <w:outlineLvl w:val="2"/>
      </w:pPr>
      <w:r>
        <w:rPr>
          <w:rFonts w:ascii="黑体" w:hAnsi="黑体" w:eastAsia="黑体"/>
          <w:sz w:val="32"/>
        </w:rPr>
        <w:t>十二、其他需说明的事项</w:t>
      </w:r>
    </w:p>
    <w:p w14:paraId="242E555B">
      <w:pPr>
        <w:spacing w:line="580" w:lineRule="exact"/>
        <w:ind w:firstLine="640"/>
        <w:jc w:val="both"/>
      </w:pPr>
      <w:r>
        <w:rPr>
          <w:rFonts w:ascii="仿宋_GB2312" w:hAnsi="仿宋_GB2312" w:eastAsia="仿宋_GB2312"/>
          <w:b w:val="0"/>
          <w:sz w:val="32"/>
        </w:rPr>
        <w:t>本单位无其他需说明的事项。</w:t>
      </w:r>
    </w:p>
    <w:p w14:paraId="2543DF12">
      <w:r>
        <w:br w:type="page"/>
      </w:r>
    </w:p>
    <w:p w14:paraId="2A2A9C35">
      <w:pPr>
        <w:spacing w:line="240" w:lineRule="auto"/>
        <w:jc w:val="center"/>
        <w:outlineLvl w:val="1"/>
      </w:pPr>
      <w:r>
        <w:rPr>
          <w:rFonts w:ascii="黑体" w:hAnsi="黑体" w:eastAsia="黑体"/>
          <w:sz w:val="32"/>
        </w:rPr>
        <w:t>第三部分 专业名词解释</w:t>
      </w:r>
    </w:p>
    <w:p w14:paraId="77E6F32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A9866E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F272BA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CD5A1F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C9148B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62CA28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3CA3A2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3BC9F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DEFBB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7D2854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097652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513E80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266DF0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1BF17D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3300B83">
      <w:r>
        <w:br w:type="page"/>
      </w:r>
    </w:p>
    <w:p w14:paraId="71291F19">
      <w:pPr>
        <w:spacing w:line="240" w:lineRule="auto"/>
        <w:jc w:val="center"/>
        <w:outlineLvl w:val="1"/>
      </w:pPr>
      <w:r>
        <w:rPr>
          <w:rFonts w:ascii="黑体" w:hAnsi="黑体" w:eastAsia="黑体"/>
          <w:sz w:val="32"/>
        </w:rPr>
        <w:t>第四部分 部门决算报表（见附表）</w:t>
      </w:r>
    </w:p>
    <w:p w14:paraId="0BDB4F1E">
      <w:pPr>
        <w:spacing w:line="240" w:lineRule="auto"/>
        <w:ind w:firstLine="640"/>
        <w:jc w:val="both"/>
      </w:pPr>
      <w:r>
        <w:rPr>
          <w:rFonts w:ascii="仿宋_GB2312" w:hAnsi="仿宋_GB2312" w:eastAsia="仿宋_GB2312"/>
          <w:b w:val="0"/>
          <w:sz w:val="32"/>
        </w:rPr>
        <w:t>一、《收入支出决算总表》</w:t>
      </w:r>
    </w:p>
    <w:p w14:paraId="3933337A">
      <w:pPr>
        <w:spacing w:line="240" w:lineRule="auto"/>
        <w:ind w:firstLine="640"/>
        <w:jc w:val="both"/>
      </w:pPr>
      <w:r>
        <w:rPr>
          <w:rFonts w:ascii="仿宋_GB2312" w:hAnsi="仿宋_GB2312" w:eastAsia="仿宋_GB2312"/>
          <w:b w:val="0"/>
          <w:sz w:val="32"/>
        </w:rPr>
        <w:t>二、《收入决算表》</w:t>
      </w:r>
    </w:p>
    <w:p w14:paraId="5536ECE8">
      <w:pPr>
        <w:spacing w:line="240" w:lineRule="auto"/>
        <w:ind w:firstLine="640"/>
        <w:jc w:val="both"/>
      </w:pPr>
      <w:r>
        <w:rPr>
          <w:rFonts w:ascii="仿宋_GB2312" w:hAnsi="仿宋_GB2312" w:eastAsia="仿宋_GB2312"/>
          <w:b w:val="0"/>
          <w:sz w:val="32"/>
        </w:rPr>
        <w:t>三、《支出决算表》</w:t>
      </w:r>
    </w:p>
    <w:p w14:paraId="2A60B2A4">
      <w:pPr>
        <w:spacing w:line="240" w:lineRule="auto"/>
        <w:ind w:firstLine="640"/>
        <w:jc w:val="both"/>
      </w:pPr>
      <w:r>
        <w:rPr>
          <w:rFonts w:ascii="仿宋_GB2312" w:hAnsi="仿宋_GB2312" w:eastAsia="仿宋_GB2312"/>
          <w:b w:val="0"/>
          <w:sz w:val="32"/>
        </w:rPr>
        <w:t>四、《财政拨款收入支出决算总表》</w:t>
      </w:r>
    </w:p>
    <w:p w14:paraId="6DD34131">
      <w:pPr>
        <w:spacing w:line="240" w:lineRule="auto"/>
        <w:ind w:firstLine="640"/>
        <w:jc w:val="both"/>
      </w:pPr>
      <w:r>
        <w:rPr>
          <w:rFonts w:ascii="仿宋_GB2312" w:hAnsi="仿宋_GB2312" w:eastAsia="仿宋_GB2312"/>
          <w:b w:val="0"/>
          <w:sz w:val="32"/>
        </w:rPr>
        <w:t>五、《一般公共预算财政拨款支出决算表》</w:t>
      </w:r>
    </w:p>
    <w:p w14:paraId="59ED8C4B">
      <w:pPr>
        <w:spacing w:line="240" w:lineRule="auto"/>
        <w:ind w:firstLine="640"/>
        <w:jc w:val="both"/>
      </w:pPr>
      <w:r>
        <w:rPr>
          <w:rFonts w:ascii="仿宋_GB2312" w:hAnsi="仿宋_GB2312" w:eastAsia="仿宋_GB2312"/>
          <w:b w:val="0"/>
          <w:sz w:val="32"/>
        </w:rPr>
        <w:t>六、《一般公共预算财政拨款基本支出决算表》</w:t>
      </w:r>
    </w:p>
    <w:p w14:paraId="098E2120">
      <w:pPr>
        <w:spacing w:line="240" w:lineRule="auto"/>
        <w:ind w:firstLine="640"/>
        <w:jc w:val="both"/>
      </w:pPr>
      <w:r>
        <w:rPr>
          <w:rFonts w:ascii="仿宋_GB2312" w:hAnsi="仿宋_GB2312" w:eastAsia="仿宋_GB2312"/>
          <w:b w:val="0"/>
          <w:sz w:val="32"/>
        </w:rPr>
        <w:t>七、《政府性基金预算财政拨款收入支出决算表》</w:t>
      </w:r>
    </w:p>
    <w:p w14:paraId="0F664BBE">
      <w:pPr>
        <w:spacing w:line="240" w:lineRule="auto"/>
        <w:ind w:firstLine="640"/>
        <w:jc w:val="both"/>
      </w:pPr>
      <w:r>
        <w:rPr>
          <w:rFonts w:ascii="仿宋_GB2312" w:hAnsi="仿宋_GB2312" w:eastAsia="仿宋_GB2312"/>
          <w:b w:val="0"/>
          <w:sz w:val="32"/>
        </w:rPr>
        <w:t>八、《国有资本经营预算财政拨款收入支出决算表》</w:t>
      </w:r>
    </w:p>
    <w:p w14:paraId="0465189D">
      <w:pPr>
        <w:spacing w:line="240" w:lineRule="auto"/>
        <w:ind w:firstLine="640"/>
        <w:jc w:val="both"/>
      </w:pPr>
      <w:r>
        <w:rPr>
          <w:rFonts w:ascii="仿宋_GB2312" w:hAnsi="仿宋_GB2312" w:eastAsia="仿宋_GB2312"/>
          <w:b w:val="0"/>
          <w:sz w:val="32"/>
        </w:rPr>
        <w:t>九、《财政拨款“三公”经费支出决算表》</w:t>
      </w:r>
    </w:p>
    <w:p w14:paraId="31918629">
      <w:pPr>
        <w:spacing w:line="240" w:lineRule="auto"/>
        <w:ind w:firstLine="640"/>
        <w:jc w:val="both"/>
      </w:pPr>
    </w:p>
    <w:p w14:paraId="4E86094A">
      <w:pPr>
        <w:spacing w:line="240" w:lineRule="auto"/>
        <w:ind w:firstLine="640"/>
        <w:jc w:val="both"/>
      </w:pPr>
    </w:p>
    <w:p w14:paraId="0F9B551F">
      <w:pPr>
        <w:spacing w:line="240" w:lineRule="auto"/>
        <w:ind w:firstLine="640"/>
        <w:jc w:val="both"/>
      </w:pPr>
    </w:p>
    <w:p w14:paraId="24A18F38">
      <w:pPr>
        <w:spacing w:line="240" w:lineRule="auto"/>
        <w:ind w:firstLine="640"/>
        <w:jc w:val="both"/>
      </w:pPr>
    </w:p>
    <w:p w14:paraId="6D3A381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DF775E"/>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981246"/>
    <w:rsid w:val="23BC04D2"/>
    <w:rsid w:val="25275618"/>
    <w:rsid w:val="27CE017C"/>
    <w:rsid w:val="27CF2642"/>
    <w:rsid w:val="282459E2"/>
    <w:rsid w:val="29116777"/>
    <w:rsid w:val="2A053397"/>
    <w:rsid w:val="2A444FB1"/>
    <w:rsid w:val="2A6064E2"/>
    <w:rsid w:val="2BA245C5"/>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C17BD6"/>
    <w:rsid w:val="4F3F074E"/>
    <w:rsid w:val="50DB5F45"/>
    <w:rsid w:val="52F92565"/>
    <w:rsid w:val="543D17CB"/>
    <w:rsid w:val="55DA564E"/>
    <w:rsid w:val="56E07045"/>
    <w:rsid w:val="583059FA"/>
    <w:rsid w:val="587E6212"/>
    <w:rsid w:val="5AFC6609"/>
    <w:rsid w:val="5FA17648"/>
    <w:rsid w:val="5FD320BD"/>
    <w:rsid w:val="60DE4D57"/>
    <w:rsid w:val="613409CB"/>
    <w:rsid w:val="61645A96"/>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A01FD4"/>
    <w:rsid w:val="71473612"/>
    <w:rsid w:val="718F7F65"/>
    <w:rsid w:val="73423603"/>
    <w:rsid w:val="737A5923"/>
    <w:rsid w:val="73DE4104"/>
    <w:rsid w:val="73FB6630"/>
    <w:rsid w:val="74AF10D9"/>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6308</Words>
  <Characters>7325</Characters>
  <Lines>0</Lines>
  <Paragraphs>0</Paragraphs>
  <TotalTime>22</TotalTime>
  <ScaleCrop>false</ScaleCrop>
  <LinksUpToDate>false</LinksUpToDate>
  <CharactersWithSpaces>7340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冯海燕</cp:lastModifiedBy>
  <cp:lastPrinted>2024-07-22T11:58:00Z</cp:lastPrinted>
  <dcterms:modified xsi:type="dcterms:W3CDTF">2025-09-10T10:11:41Z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